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EDCC" w14:textId="549556E6" w:rsidR="00F661D4" w:rsidRPr="008E5CC7" w:rsidRDefault="00EF2197" w:rsidP="00F661D4">
      <w:pPr>
        <w:jc w:val="center"/>
        <w:rPr>
          <w:rFonts w:cstheme="minorHAnsi"/>
          <w:sz w:val="28"/>
          <w:szCs w:val="28"/>
        </w:rPr>
      </w:pPr>
      <w:r>
        <w:rPr>
          <w:rFonts w:cstheme="minorHAnsi"/>
          <w:b/>
          <w:bCs/>
          <w:sz w:val="28"/>
          <w:szCs w:val="28"/>
        </w:rPr>
        <w:t>Enhesa</w:t>
      </w:r>
      <w:r w:rsidR="00F661D4" w:rsidRPr="008E5CC7">
        <w:rPr>
          <w:rFonts w:cstheme="minorHAnsi"/>
          <w:b/>
          <w:bCs/>
          <w:sz w:val="28"/>
          <w:szCs w:val="28"/>
        </w:rPr>
        <w:t xml:space="preserve"> Group</w:t>
      </w:r>
      <w:r w:rsidR="008E5CC7">
        <w:rPr>
          <w:rFonts w:cstheme="minorHAnsi"/>
          <w:b/>
          <w:bCs/>
          <w:sz w:val="28"/>
          <w:szCs w:val="28"/>
        </w:rPr>
        <w:t xml:space="preserve"> </w:t>
      </w:r>
      <w:r w:rsidR="00F661D4" w:rsidRPr="008E5CC7">
        <w:rPr>
          <w:rFonts w:cstheme="minorHAnsi"/>
          <w:b/>
          <w:bCs/>
          <w:sz w:val="28"/>
          <w:szCs w:val="28"/>
        </w:rPr>
        <w:t xml:space="preserve">Events </w:t>
      </w:r>
      <w:r w:rsidR="00701983">
        <w:rPr>
          <w:rFonts w:cstheme="minorHAnsi"/>
          <w:b/>
          <w:bCs/>
          <w:sz w:val="28"/>
          <w:szCs w:val="28"/>
        </w:rPr>
        <w:t>Terms &amp; Conditions</w:t>
      </w:r>
    </w:p>
    <w:p w14:paraId="7C9282C5" w14:textId="77777777" w:rsidR="00F661D4" w:rsidRPr="0002621A" w:rsidRDefault="00F661D4" w:rsidP="00F661D4">
      <w:pPr>
        <w:jc w:val="center"/>
        <w:rPr>
          <w:rFonts w:cstheme="minorHAnsi"/>
        </w:rPr>
      </w:pPr>
    </w:p>
    <w:p w14:paraId="2E480146" w14:textId="79B66F9F" w:rsidR="000532C4" w:rsidRPr="00BA2757" w:rsidRDefault="003D67B4" w:rsidP="00F661D4">
      <w:pPr>
        <w:jc w:val="both"/>
        <w:rPr>
          <w:rFonts w:cstheme="minorHAnsi"/>
        </w:rPr>
      </w:pPr>
      <w:r w:rsidRPr="00BA2757">
        <w:rPr>
          <w:rStyle w:val="normaltextrun"/>
          <w:rFonts w:ascii="Calibri" w:hAnsi="Calibri" w:cs="Calibri"/>
          <w:color w:val="000000"/>
          <w:shd w:val="clear" w:color="auto" w:fill="FFFFFF"/>
          <w:lang w:val="en-GB"/>
        </w:rPr>
        <w:t xml:space="preserve">The purpose of these Enhesa Group </w:t>
      </w:r>
      <w:r w:rsidR="00BA2757" w:rsidRPr="00BA2757">
        <w:rPr>
          <w:rStyle w:val="normaltextrun"/>
          <w:rFonts w:ascii="Calibri" w:hAnsi="Calibri" w:cs="Calibri"/>
          <w:color w:val="000000"/>
          <w:shd w:val="clear" w:color="auto" w:fill="FFFFFF"/>
          <w:lang w:val="en-GB"/>
        </w:rPr>
        <w:t xml:space="preserve">Events </w:t>
      </w:r>
      <w:r w:rsidRPr="00BA2757">
        <w:rPr>
          <w:rStyle w:val="normaltextrun"/>
          <w:rFonts w:ascii="Calibri" w:hAnsi="Calibri" w:cs="Calibri"/>
          <w:color w:val="000000"/>
          <w:shd w:val="clear" w:color="auto" w:fill="FFFFFF"/>
          <w:lang w:val="en-GB"/>
        </w:rPr>
        <w:t>Terms and Conditions (“</w:t>
      </w:r>
      <w:r w:rsidR="00BA2757" w:rsidRPr="00D16391">
        <w:rPr>
          <w:rStyle w:val="normaltextrun"/>
          <w:rFonts w:ascii="Calibri" w:hAnsi="Calibri" w:cs="Calibri"/>
          <w:b/>
          <w:bCs/>
          <w:color w:val="000000"/>
          <w:shd w:val="clear" w:color="auto" w:fill="FFFFFF"/>
          <w:lang w:val="en-GB"/>
        </w:rPr>
        <w:t xml:space="preserve">Events </w:t>
      </w:r>
      <w:r w:rsidRPr="00D16391">
        <w:rPr>
          <w:rStyle w:val="normaltextrun"/>
          <w:rFonts w:ascii="Calibri" w:hAnsi="Calibri" w:cs="Calibri"/>
          <w:b/>
          <w:bCs/>
          <w:color w:val="000000"/>
          <w:shd w:val="clear" w:color="auto" w:fill="FFFFFF"/>
          <w:lang w:val="en-GB"/>
        </w:rPr>
        <w:t>Terms</w:t>
      </w:r>
      <w:r w:rsidRPr="00BA2757">
        <w:rPr>
          <w:rStyle w:val="normaltextrun"/>
          <w:rFonts w:ascii="Calibri" w:hAnsi="Calibri" w:cs="Calibri"/>
          <w:color w:val="000000"/>
          <w:shd w:val="clear" w:color="auto" w:fill="FFFFFF"/>
          <w:lang w:val="en-GB"/>
        </w:rPr>
        <w:t xml:space="preserve">”) is to establish the terms and conditions under which Customer may </w:t>
      </w:r>
      <w:r w:rsidR="00D16391">
        <w:rPr>
          <w:rStyle w:val="normaltextrun"/>
          <w:rFonts w:ascii="Calibri" w:hAnsi="Calibri" w:cs="Calibri"/>
          <w:color w:val="000000"/>
          <w:shd w:val="clear" w:color="auto" w:fill="FFFFFF"/>
          <w:lang w:val="en-GB"/>
        </w:rPr>
        <w:t xml:space="preserve">participate in events organized by </w:t>
      </w:r>
      <w:r w:rsidRPr="00BA2757">
        <w:rPr>
          <w:rStyle w:val="normaltextrun"/>
          <w:rFonts w:ascii="Calibri" w:hAnsi="Calibri" w:cs="Calibri"/>
          <w:color w:val="000000"/>
          <w:shd w:val="clear" w:color="auto" w:fill="FFFFFF"/>
          <w:lang w:val="en-GB"/>
        </w:rPr>
        <w:t xml:space="preserve">any Company entity </w:t>
      </w:r>
      <w:r w:rsidR="00C45515">
        <w:rPr>
          <w:rStyle w:val="normaltextrun"/>
          <w:rFonts w:ascii="Calibri" w:hAnsi="Calibri" w:cs="Calibri"/>
          <w:color w:val="000000"/>
          <w:shd w:val="clear" w:color="auto" w:fill="FFFFFF"/>
          <w:lang w:val="en-GB"/>
        </w:rPr>
        <w:t xml:space="preserve">from the Enhesa group </w:t>
      </w:r>
      <w:r w:rsidRPr="00BA2757">
        <w:rPr>
          <w:rStyle w:val="normaltextrun"/>
          <w:rFonts w:ascii="Calibri" w:hAnsi="Calibri" w:cs="Calibri"/>
          <w:color w:val="000000"/>
          <w:shd w:val="clear" w:color="auto" w:fill="FFFFFF"/>
          <w:lang w:val="en-GB"/>
        </w:rPr>
        <w:t>and which shall be further detailed in any relevant Statement of Work</w:t>
      </w:r>
      <w:r w:rsidR="00C45515">
        <w:rPr>
          <w:rStyle w:val="normaltextrun"/>
          <w:rFonts w:ascii="Calibri" w:hAnsi="Calibri" w:cs="Calibri"/>
          <w:color w:val="000000"/>
          <w:shd w:val="clear" w:color="auto" w:fill="FFFFFF"/>
          <w:lang w:val="en-GB"/>
        </w:rPr>
        <w:t>, order form</w:t>
      </w:r>
      <w:r w:rsidRPr="00BA2757">
        <w:rPr>
          <w:rStyle w:val="normaltextrun"/>
          <w:rFonts w:ascii="Calibri" w:hAnsi="Calibri" w:cs="Calibri"/>
          <w:color w:val="000000"/>
          <w:shd w:val="clear" w:color="auto" w:fill="FFFFFF"/>
          <w:lang w:val="en-GB"/>
        </w:rPr>
        <w:t xml:space="preserve"> </w:t>
      </w:r>
      <w:r w:rsidR="00C45515">
        <w:rPr>
          <w:rStyle w:val="normaltextrun"/>
          <w:rFonts w:ascii="Calibri" w:hAnsi="Calibri" w:cs="Calibri"/>
          <w:color w:val="000000"/>
          <w:shd w:val="clear" w:color="auto" w:fill="FFFFFF"/>
          <w:lang w:val="en-GB"/>
        </w:rPr>
        <w:t xml:space="preserve">or registration document entered into by </w:t>
      </w:r>
      <w:r w:rsidRPr="00BA2757">
        <w:rPr>
          <w:rStyle w:val="normaltextrun"/>
          <w:rFonts w:ascii="Calibri" w:hAnsi="Calibri" w:cs="Calibri"/>
          <w:color w:val="000000"/>
          <w:shd w:val="clear" w:color="auto" w:fill="FFFFFF"/>
          <w:lang w:val="en-GB"/>
        </w:rPr>
        <w:t>Customer. Company and Customer may be referred to individually as Party or collectively as Parties herein.</w:t>
      </w:r>
    </w:p>
    <w:p w14:paraId="2557888C" w14:textId="77777777" w:rsidR="000532C4" w:rsidRDefault="000532C4" w:rsidP="00F661D4">
      <w:pPr>
        <w:jc w:val="both"/>
        <w:rPr>
          <w:rFonts w:cstheme="minorHAnsi"/>
        </w:rPr>
      </w:pPr>
    </w:p>
    <w:p w14:paraId="60753074" w14:textId="1B65A429" w:rsidR="004A07F6" w:rsidRDefault="00F661D4" w:rsidP="00F661D4">
      <w:pPr>
        <w:jc w:val="both"/>
        <w:rPr>
          <w:rFonts w:cstheme="minorHAnsi"/>
        </w:rPr>
      </w:pPr>
      <w:r w:rsidRPr="0002621A">
        <w:rPr>
          <w:rFonts w:cstheme="minorHAnsi"/>
        </w:rPr>
        <w:t xml:space="preserve">Both </w:t>
      </w:r>
      <w:r w:rsidR="008E5CC7">
        <w:rPr>
          <w:rFonts w:cstheme="minorHAnsi"/>
        </w:rPr>
        <w:t xml:space="preserve">Company </w:t>
      </w:r>
      <w:r w:rsidRPr="0002621A">
        <w:rPr>
          <w:rFonts w:cstheme="minorHAnsi"/>
        </w:rPr>
        <w:t>and Participant may be referred to as Party or, collectively, as Parties in this Agreement.</w:t>
      </w:r>
    </w:p>
    <w:p w14:paraId="54D557A4" w14:textId="77777777" w:rsidR="00F661D4" w:rsidRPr="0002621A" w:rsidRDefault="00F661D4" w:rsidP="00F661D4">
      <w:pPr>
        <w:jc w:val="both"/>
        <w:rPr>
          <w:rFonts w:cstheme="minorHAnsi"/>
        </w:rPr>
      </w:pPr>
    </w:p>
    <w:p w14:paraId="0E3AA48B" w14:textId="53BFA91D" w:rsidR="00F661D4" w:rsidRPr="0002621A" w:rsidRDefault="00F661D4" w:rsidP="00F661D4">
      <w:pPr>
        <w:pStyle w:val="ListParagraph"/>
        <w:numPr>
          <w:ilvl w:val="0"/>
          <w:numId w:val="12"/>
        </w:numPr>
        <w:jc w:val="both"/>
        <w:rPr>
          <w:rFonts w:cstheme="minorHAnsi"/>
          <w:b/>
          <w:bCs/>
        </w:rPr>
      </w:pPr>
      <w:r w:rsidRPr="0002621A">
        <w:rPr>
          <w:rFonts w:cstheme="minorHAnsi"/>
          <w:b/>
          <w:bCs/>
        </w:rPr>
        <w:t>Nature of the Parties</w:t>
      </w:r>
    </w:p>
    <w:p w14:paraId="6F505AEB" w14:textId="2C70201A" w:rsidR="00F661D4" w:rsidRPr="0002621A" w:rsidRDefault="008E5CC7" w:rsidP="00F661D4">
      <w:pPr>
        <w:pStyle w:val="ListParagraph"/>
        <w:numPr>
          <w:ilvl w:val="1"/>
          <w:numId w:val="12"/>
        </w:numPr>
        <w:jc w:val="both"/>
        <w:rPr>
          <w:rFonts w:cstheme="minorHAnsi"/>
        </w:rPr>
      </w:pPr>
      <w:r>
        <w:rPr>
          <w:rFonts w:cstheme="minorHAnsi"/>
        </w:rPr>
        <w:t>Company</w:t>
      </w:r>
      <w:r w:rsidR="00F661D4" w:rsidRPr="0002621A">
        <w:rPr>
          <w:rFonts w:cstheme="minorHAnsi"/>
        </w:rPr>
        <w:t>, a global leader in environmental, safety, and health matters is a premier provider of regulatory compliance, analytics, and educational resources for businesses seeking to assess their regulatory compliance.</w:t>
      </w:r>
    </w:p>
    <w:p w14:paraId="094C5736" w14:textId="5020C013" w:rsidR="00F661D4" w:rsidRPr="0002621A" w:rsidRDefault="00F661D4" w:rsidP="00F661D4">
      <w:pPr>
        <w:pStyle w:val="ListParagraph"/>
        <w:numPr>
          <w:ilvl w:val="1"/>
          <w:numId w:val="12"/>
        </w:numPr>
        <w:jc w:val="both"/>
        <w:rPr>
          <w:rFonts w:cstheme="minorHAnsi"/>
        </w:rPr>
      </w:pPr>
      <w:r w:rsidRPr="0002621A">
        <w:rPr>
          <w:rFonts w:cstheme="minorHAnsi"/>
        </w:rPr>
        <w:t xml:space="preserve">Participant is seeking admission </w:t>
      </w:r>
      <w:r w:rsidR="00A213A9" w:rsidRPr="0002621A">
        <w:rPr>
          <w:rFonts w:cstheme="minorHAnsi"/>
        </w:rPr>
        <w:t xml:space="preserve">or access to an event which </w:t>
      </w:r>
      <w:r w:rsidR="008E5CC7">
        <w:rPr>
          <w:rFonts w:cstheme="minorHAnsi"/>
        </w:rPr>
        <w:t>Company</w:t>
      </w:r>
      <w:r w:rsidR="00A213A9" w:rsidRPr="0002621A">
        <w:rPr>
          <w:rFonts w:cstheme="minorHAnsi"/>
        </w:rPr>
        <w:t xml:space="preserve"> wishes to make available.</w:t>
      </w:r>
    </w:p>
    <w:p w14:paraId="434B418E" w14:textId="1E56BB1D" w:rsidR="00706FF6" w:rsidRDefault="00706FF6" w:rsidP="00F661D4">
      <w:pPr>
        <w:pStyle w:val="ListParagraph"/>
        <w:numPr>
          <w:ilvl w:val="1"/>
          <w:numId w:val="12"/>
        </w:numPr>
        <w:jc w:val="both"/>
        <w:rPr>
          <w:rFonts w:cstheme="minorHAnsi"/>
        </w:rPr>
      </w:pPr>
      <w:r w:rsidRPr="0002621A">
        <w:rPr>
          <w:rFonts w:cstheme="minorHAnsi"/>
        </w:rPr>
        <w:t>Each Party shall, at all times, remain an independent party. This Agreement and the relationship between them described herein shall not constitute a separate legal entity nor entitle either Party to bind, commit, or otherwise obligate the other Party beyond what is contemplated in this Agreement or in any registration agreement.</w:t>
      </w:r>
    </w:p>
    <w:p w14:paraId="5AB64C57" w14:textId="77777777" w:rsidR="00D2713D" w:rsidRPr="00D2713D" w:rsidRDefault="00D2713D" w:rsidP="00D2713D">
      <w:pPr>
        <w:jc w:val="both"/>
        <w:rPr>
          <w:rFonts w:cstheme="minorHAnsi"/>
        </w:rPr>
      </w:pPr>
    </w:p>
    <w:p w14:paraId="54778186" w14:textId="21278EBB" w:rsidR="00F661D4" w:rsidRPr="0002621A" w:rsidRDefault="00F661D4" w:rsidP="00F661D4">
      <w:pPr>
        <w:pStyle w:val="ListParagraph"/>
        <w:numPr>
          <w:ilvl w:val="0"/>
          <w:numId w:val="12"/>
        </w:numPr>
        <w:jc w:val="both"/>
        <w:rPr>
          <w:rFonts w:cstheme="minorHAnsi"/>
          <w:b/>
          <w:bCs/>
        </w:rPr>
      </w:pPr>
      <w:r w:rsidRPr="0002621A">
        <w:rPr>
          <w:rFonts w:cstheme="minorHAnsi"/>
          <w:b/>
          <w:bCs/>
        </w:rPr>
        <w:t>Nature of the Services</w:t>
      </w:r>
    </w:p>
    <w:p w14:paraId="1EF6B4AE" w14:textId="45EA06D4" w:rsidR="00A213A9" w:rsidRPr="0002621A" w:rsidRDefault="008E5CC7" w:rsidP="00A213A9">
      <w:pPr>
        <w:pStyle w:val="ListParagraph"/>
        <w:numPr>
          <w:ilvl w:val="1"/>
          <w:numId w:val="12"/>
        </w:numPr>
        <w:jc w:val="both"/>
        <w:rPr>
          <w:rFonts w:cstheme="minorHAnsi"/>
        </w:rPr>
      </w:pPr>
      <w:r>
        <w:rPr>
          <w:rFonts w:cstheme="minorHAnsi"/>
        </w:rPr>
        <w:t>Company</w:t>
      </w:r>
      <w:r w:rsidR="00A213A9" w:rsidRPr="0002621A">
        <w:rPr>
          <w:rFonts w:cstheme="minorHAnsi"/>
        </w:rPr>
        <w:t xml:space="preserve"> events consist of both live and online offerings. Events may be held on site at specific venues or online in webinar format.</w:t>
      </w:r>
    </w:p>
    <w:p w14:paraId="64413FED" w14:textId="6A8CFC5B" w:rsidR="00A213A9" w:rsidRDefault="008E5CC7" w:rsidP="00A213A9">
      <w:pPr>
        <w:pStyle w:val="ListParagraph"/>
        <w:numPr>
          <w:ilvl w:val="1"/>
          <w:numId w:val="12"/>
        </w:numPr>
        <w:jc w:val="both"/>
        <w:rPr>
          <w:rFonts w:cstheme="minorHAnsi"/>
        </w:rPr>
      </w:pPr>
      <w:r>
        <w:rPr>
          <w:rFonts w:cstheme="minorHAnsi"/>
        </w:rPr>
        <w:t>Company</w:t>
      </w:r>
      <w:r w:rsidR="00A213A9" w:rsidRPr="0002621A">
        <w:rPr>
          <w:rFonts w:cstheme="minorHAnsi"/>
        </w:rPr>
        <w:t xml:space="preserve"> reserves the right to record and reproduce the events, unless otherwise restricted or prohibited based on </w:t>
      </w:r>
      <w:r>
        <w:rPr>
          <w:rFonts w:cstheme="minorHAnsi"/>
        </w:rPr>
        <w:t>Company</w:t>
      </w:r>
      <w:r w:rsidR="00A213A9" w:rsidRPr="0002621A">
        <w:rPr>
          <w:rFonts w:cstheme="minorHAnsi"/>
        </w:rPr>
        <w:t>’s sole discretion in its management of the event.</w:t>
      </w:r>
    </w:p>
    <w:p w14:paraId="7C14F4B9" w14:textId="77777777" w:rsidR="00A059F6" w:rsidRDefault="00A059F6" w:rsidP="00A059F6">
      <w:pPr>
        <w:jc w:val="both"/>
        <w:rPr>
          <w:rFonts w:cstheme="minorHAnsi"/>
        </w:rPr>
      </w:pPr>
    </w:p>
    <w:p w14:paraId="45C7BCF0" w14:textId="77777777" w:rsidR="00A059F6" w:rsidRPr="00A059F6" w:rsidRDefault="00A059F6" w:rsidP="00A059F6">
      <w:pPr>
        <w:jc w:val="both"/>
        <w:rPr>
          <w:rFonts w:cstheme="minorHAnsi"/>
        </w:rPr>
      </w:pPr>
    </w:p>
    <w:p w14:paraId="4C0634AF" w14:textId="77777777" w:rsidR="00D2713D" w:rsidRPr="00D2713D" w:rsidRDefault="00D2713D" w:rsidP="00D2713D">
      <w:pPr>
        <w:jc w:val="both"/>
        <w:rPr>
          <w:rFonts w:cstheme="minorHAnsi"/>
        </w:rPr>
      </w:pPr>
    </w:p>
    <w:p w14:paraId="3061BA73" w14:textId="370CA0FD" w:rsidR="00B375B6" w:rsidRPr="0002621A" w:rsidRDefault="00B375B6" w:rsidP="00F661D4">
      <w:pPr>
        <w:pStyle w:val="ListParagraph"/>
        <w:numPr>
          <w:ilvl w:val="0"/>
          <w:numId w:val="12"/>
        </w:numPr>
        <w:jc w:val="both"/>
        <w:rPr>
          <w:rFonts w:cstheme="minorHAnsi"/>
          <w:b/>
          <w:bCs/>
        </w:rPr>
      </w:pPr>
      <w:r w:rsidRPr="0002621A">
        <w:rPr>
          <w:rFonts w:cstheme="minorHAnsi"/>
          <w:b/>
          <w:bCs/>
        </w:rPr>
        <w:t>Payment</w:t>
      </w:r>
    </w:p>
    <w:p w14:paraId="6FBE781E" w14:textId="26921E9B" w:rsidR="00B375B6" w:rsidRPr="0002621A" w:rsidRDefault="00B375B6" w:rsidP="00B375B6">
      <w:pPr>
        <w:pStyle w:val="ListParagraph"/>
        <w:numPr>
          <w:ilvl w:val="1"/>
          <w:numId w:val="12"/>
        </w:numPr>
        <w:jc w:val="both"/>
        <w:rPr>
          <w:rFonts w:cstheme="minorHAnsi"/>
          <w:b/>
          <w:bCs/>
        </w:rPr>
      </w:pPr>
      <w:r w:rsidRPr="0002621A">
        <w:rPr>
          <w:rFonts w:cstheme="minorHAnsi"/>
        </w:rPr>
        <w:t xml:space="preserve">Participant shall submit payment within thirty (30) days of execution of this Agreement or no less than ten (10) days prior to the </w:t>
      </w:r>
      <w:r w:rsidR="008E5CC7">
        <w:rPr>
          <w:rFonts w:cstheme="minorHAnsi"/>
        </w:rPr>
        <w:t>Company</w:t>
      </w:r>
      <w:r w:rsidRPr="0002621A">
        <w:rPr>
          <w:rFonts w:cstheme="minorHAnsi"/>
        </w:rPr>
        <w:t xml:space="preserve"> event, whichever is sooner.</w:t>
      </w:r>
    </w:p>
    <w:p w14:paraId="13DA75F0" w14:textId="3900F9B5" w:rsidR="00B375B6" w:rsidRPr="0002621A" w:rsidRDefault="00B375B6" w:rsidP="00B375B6">
      <w:pPr>
        <w:pStyle w:val="ListParagraph"/>
        <w:numPr>
          <w:ilvl w:val="1"/>
          <w:numId w:val="12"/>
        </w:numPr>
        <w:jc w:val="both"/>
        <w:rPr>
          <w:rFonts w:cstheme="minorHAnsi"/>
          <w:b/>
          <w:bCs/>
        </w:rPr>
      </w:pPr>
      <w:r w:rsidRPr="0002621A">
        <w:rPr>
          <w:rFonts w:cstheme="minorHAnsi"/>
        </w:rPr>
        <w:t>Where any taxes are applicable to the Agreement between the Parties, Participant is obligated to remit such taxes to the relevant authorities. Neither Party shall be obligated for the payment of standard taxes incurred due to the routine operations of the business (Such as employment and payroll taxes or taxes due on payment to a Party’s subcontractors).</w:t>
      </w:r>
    </w:p>
    <w:p w14:paraId="19FFD409" w14:textId="5A42354A" w:rsidR="00B375B6" w:rsidRPr="00C23DE3" w:rsidRDefault="008E5CC7" w:rsidP="00B375B6">
      <w:pPr>
        <w:pStyle w:val="ListParagraph"/>
        <w:numPr>
          <w:ilvl w:val="1"/>
          <w:numId w:val="12"/>
        </w:numPr>
        <w:jc w:val="both"/>
        <w:rPr>
          <w:rFonts w:cstheme="minorHAnsi"/>
          <w:b/>
          <w:bCs/>
        </w:rPr>
      </w:pPr>
      <w:r>
        <w:rPr>
          <w:rFonts w:cstheme="minorHAnsi"/>
        </w:rPr>
        <w:t>Company</w:t>
      </w:r>
      <w:r w:rsidR="00B375B6" w:rsidRPr="0002621A">
        <w:rPr>
          <w:rFonts w:cstheme="minorHAnsi"/>
        </w:rPr>
        <w:t xml:space="preserve"> reserves the right to refuse entry or participation by Participant in the event that payment is not remitted by the dates referenced in 3.1.</w:t>
      </w:r>
      <w:r w:rsidR="005728C5" w:rsidRPr="0002621A">
        <w:rPr>
          <w:rFonts w:cstheme="minorHAnsi"/>
        </w:rPr>
        <w:t xml:space="preserve"> This clause shall be applied where Participant must raise a Purchase Order prior to issuing payment without modification to the schedule contained in this clause.</w:t>
      </w:r>
    </w:p>
    <w:p w14:paraId="20482A82" w14:textId="62B64A36" w:rsidR="00C23DE3" w:rsidRPr="00D2713D" w:rsidRDefault="00C23DE3" w:rsidP="00B375B6">
      <w:pPr>
        <w:pStyle w:val="ListParagraph"/>
        <w:numPr>
          <w:ilvl w:val="1"/>
          <w:numId w:val="12"/>
        </w:numPr>
        <w:jc w:val="both"/>
        <w:rPr>
          <w:rFonts w:cstheme="minorHAnsi"/>
          <w:b/>
          <w:bCs/>
        </w:rPr>
      </w:pPr>
      <w:r>
        <w:rPr>
          <w:rFonts w:cstheme="minorHAnsi"/>
        </w:rPr>
        <w:t xml:space="preserve">Company does not provide any travel or accommodation booking for event Participants. All arrangements for travel or accommodations are the obligation of the Participant. </w:t>
      </w:r>
    </w:p>
    <w:p w14:paraId="0652367F" w14:textId="77777777" w:rsidR="00D2713D" w:rsidRPr="00D2713D" w:rsidRDefault="00D2713D" w:rsidP="00D2713D">
      <w:pPr>
        <w:jc w:val="both"/>
        <w:rPr>
          <w:rFonts w:cstheme="minorHAnsi"/>
          <w:b/>
          <w:bCs/>
        </w:rPr>
      </w:pPr>
    </w:p>
    <w:p w14:paraId="33815276" w14:textId="7EF5A256" w:rsidR="00F661D4" w:rsidRPr="0002621A" w:rsidRDefault="00F661D4" w:rsidP="00F661D4">
      <w:pPr>
        <w:pStyle w:val="ListParagraph"/>
        <w:numPr>
          <w:ilvl w:val="0"/>
          <w:numId w:val="12"/>
        </w:numPr>
        <w:jc w:val="both"/>
        <w:rPr>
          <w:rFonts w:cstheme="minorHAnsi"/>
          <w:b/>
          <w:bCs/>
        </w:rPr>
      </w:pPr>
      <w:r w:rsidRPr="0002621A">
        <w:rPr>
          <w:rFonts w:cstheme="minorHAnsi"/>
          <w:b/>
          <w:bCs/>
        </w:rPr>
        <w:t>Confidentiality</w:t>
      </w:r>
    </w:p>
    <w:p w14:paraId="125BFA66" w14:textId="7524658D" w:rsidR="00A213A9" w:rsidRDefault="0053040B" w:rsidP="00A213A9">
      <w:pPr>
        <w:pStyle w:val="ListParagraph"/>
        <w:numPr>
          <w:ilvl w:val="1"/>
          <w:numId w:val="12"/>
        </w:numPr>
        <w:jc w:val="both"/>
        <w:rPr>
          <w:rFonts w:cstheme="minorHAnsi"/>
        </w:rPr>
      </w:pPr>
      <w:r w:rsidRPr="0002621A">
        <w:rPr>
          <w:rFonts w:cstheme="minorHAnsi"/>
        </w:rPr>
        <w:t>Confidential information means any information provided by one Party (the “Discloser”) to the other (the “Recipient”) concerning financial and pricing, operational, business, or non-public information held by the Party. Confidential information does not include information that (</w:t>
      </w:r>
      <w:proofErr w:type="spellStart"/>
      <w:r w:rsidRPr="0002621A">
        <w:rPr>
          <w:rFonts w:cstheme="minorHAnsi"/>
        </w:rPr>
        <w:t>i</w:t>
      </w:r>
      <w:proofErr w:type="spellEnd"/>
      <w:r w:rsidRPr="0002621A">
        <w:rPr>
          <w:rFonts w:cstheme="minorHAnsi"/>
        </w:rPr>
        <w:t>) is or becomes publicly known through no breach by the Recipient of its obligations hereunder; (ii) was</w:t>
      </w:r>
      <w:r w:rsidR="0002621A" w:rsidRPr="0002621A">
        <w:rPr>
          <w:rFonts w:cstheme="minorHAnsi"/>
        </w:rPr>
        <w:t xml:space="preserve"> </w:t>
      </w:r>
      <w:r w:rsidRPr="0002621A">
        <w:rPr>
          <w:rFonts w:cstheme="minorHAnsi"/>
        </w:rPr>
        <w:t>in the Recipient’s lawful possession before the disclosure; (iii) is lawfully disclosed to the Recipient by a</w:t>
      </w:r>
      <w:r w:rsidR="0002621A" w:rsidRPr="0002621A">
        <w:rPr>
          <w:rFonts w:cstheme="minorHAnsi"/>
        </w:rPr>
        <w:t xml:space="preserve"> </w:t>
      </w:r>
      <w:r w:rsidRPr="0002621A">
        <w:rPr>
          <w:rFonts w:cstheme="minorHAnsi"/>
        </w:rPr>
        <w:t>third party without making use of any Confidential information; or (</w:t>
      </w:r>
      <w:r w:rsidR="0002621A" w:rsidRPr="0002621A">
        <w:rPr>
          <w:rFonts w:cstheme="minorHAnsi"/>
        </w:rPr>
        <w:t>i</w:t>
      </w:r>
      <w:r w:rsidRPr="0002621A">
        <w:rPr>
          <w:rFonts w:cstheme="minorHAnsi"/>
        </w:rPr>
        <w:t xml:space="preserve">v) is disclosed by a Participant to </w:t>
      </w:r>
      <w:r w:rsidR="008E5CC7">
        <w:rPr>
          <w:rFonts w:cstheme="minorHAnsi"/>
        </w:rPr>
        <w:t>Company</w:t>
      </w:r>
      <w:r w:rsidRPr="0002621A">
        <w:rPr>
          <w:rFonts w:cstheme="minorHAnsi"/>
        </w:rPr>
        <w:t>’s editorial or events teams in connection with such an editorial or event and reasonably understood to be intended for reproduction or distribution in accordance ther</w:t>
      </w:r>
      <w:r w:rsidR="0002621A" w:rsidRPr="0002621A">
        <w:rPr>
          <w:rFonts w:cstheme="minorHAnsi"/>
        </w:rPr>
        <w:t>e</w:t>
      </w:r>
      <w:r w:rsidRPr="0002621A">
        <w:rPr>
          <w:rFonts w:cstheme="minorHAnsi"/>
        </w:rPr>
        <w:t>with.</w:t>
      </w:r>
    </w:p>
    <w:p w14:paraId="3690FF2E" w14:textId="77777777" w:rsidR="00D2713D" w:rsidRPr="00D2713D" w:rsidRDefault="00D2713D" w:rsidP="00D2713D">
      <w:pPr>
        <w:jc w:val="both"/>
        <w:rPr>
          <w:rFonts w:cstheme="minorHAnsi"/>
        </w:rPr>
      </w:pPr>
    </w:p>
    <w:p w14:paraId="63D57441" w14:textId="0219224E" w:rsidR="00F661D4" w:rsidRPr="0002621A" w:rsidRDefault="00F661D4" w:rsidP="00F661D4">
      <w:pPr>
        <w:pStyle w:val="ListParagraph"/>
        <w:numPr>
          <w:ilvl w:val="0"/>
          <w:numId w:val="12"/>
        </w:numPr>
        <w:jc w:val="both"/>
        <w:rPr>
          <w:rFonts w:cstheme="minorHAnsi"/>
          <w:b/>
          <w:bCs/>
        </w:rPr>
      </w:pPr>
      <w:r w:rsidRPr="0002621A">
        <w:rPr>
          <w:rFonts w:cstheme="minorHAnsi"/>
          <w:b/>
          <w:bCs/>
        </w:rPr>
        <w:lastRenderedPageBreak/>
        <w:t>Licenses and Intellectual Property</w:t>
      </w:r>
    </w:p>
    <w:p w14:paraId="48DFF1D0" w14:textId="37424171" w:rsidR="00A213A9" w:rsidRPr="0002621A" w:rsidRDefault="00A213A9" w:rsidP="00A213A9">
      <w:pPr>
        <w:pStyle w:val="ListParagraph"/>
        <w:numPr>
          <w:ilvl w:val="1"/>
          <w:numId w:val="12"/>
        </w:numPr>
        <w:jc w:val="both"/>
        <w:rPr>
          <w:rFonts w:cstheme="minorHAnsi"/>
        </w:rPr>
      </w:pPr>
      <w:r w:rsidRPr="0002621A">
        <w:rPr>
          <w:rFonts w:cstheme="minorHAnsi"/>
          <w:u w:val="single"/>
        </w:rPr>
        <w:t>Recording and Reproduction.</w:t>
      </w:r>
      <w:r w:rsidRPr="0002621A">
        <w:rPr>
          <w:rFonts w:cstheme="minorHAnsi"/>
        </w:rPr>
        <w:t xml:space="preserve"> Participant grants to </w:t>
      </w:r>
      <w:r w:rsidR="008E5CC7">
        <w:rPr>
          <w:rFonts w:cstheme="minorHAnsi"/>
        </w:rPr>
        <w:t>Company</w:t>
      </w:r>
      <w:r w:rsidRPr="0002621A">
        <w:rPr>
          <w:rFonts w:cstheme="minorHAnsi"/>
        </w:rPr>
        <w:t xml:space="preserve"> the limited, royalty-free, perpetual, and worldwide license to reproduce the likeness and images of individuals attending an </w:t>
      </w:r>
      <w:r w:rsidR="008E5CC7">
        <w:rPr>
          <w:rFonts w:cstheme="minorHAnsi"/>
        </w:rPr>
        <w:t>Company</w:t>
      </w:r>
      <w:r w:rsidRPr="0002621A">
        <w:rPr>
          <w:rFonts w:cstheme="minorHAnsi"/>
        </w:rPr>
        <w:t xml:space="preserve"> event so as to enable the re-broadcast and re-distribution of any recorded event. </w:t>
      </w:r>
    </w:p>
    <w:p w14:paraId="23AF44D1" w14:textId="3224F54D" w:rsidR="00F661D4" w:rsidRPr="0002621A" w:rsidRDefault="00A213A9" w:rsidP="003606DF">
      <w:pPr>
        <w:pStyle w:val="ListParagraph"/>
        <w:numPr>
          <w:ilvl w:val="1"/>
          <w:numId w:val="12"/>
        </w:numPr>
        <w:jc w:val="both"/>
        <w:rPr>
          <w:rFonts w:cstheme="minorHAnsi"/>
        </w:rPr>
      </w:pPr>
      <w:r w:rsidRPr="0002621A">
        <w:rPr>
          <w:rFonts w:cstheme="minorHAnsi"/>
          <w:u w:val="single"/>
        </w:rPr>
        <w:t>Marketing.</w:t>
      </w:r>
      <w:r w:rsidRPr="0002621A">
        <w:rPr>
          <w:rFonts w:cstheme="minorHAnsi"/>
        </w:rPr>
        <w:t xml:space="preserve"> Participant grants to </w:t>
      </w:r>
      <w:r w:rsidR="008E5CC7">
        <w:rPr>
          <w:rFonts w:cstheme="minorHAnsi"/>
        </w:rPr>
        <w:t>Company</w:t>
      </w:r>
      <w:r w:rsidRPr="0002621A">
        <w:rPr>
          <w:rFonts w:cstheme="minorHAnsi"/>
        </w:rPr>
        <w:t xml:space="preserve"> a limited, royalty-free, and worldwide license to reproduce its trademarks and logos, as applicable and as permitted by Participant in writing, for promotional material</w:t>
      </w:r>
      <w:r w:rsidR="0002621A">
        <w:rPr>
          <w:rFonts w:cstheme="minorHAnsi"/>
        </w:rPr>
        <w:t>.</w:t>
      </w:r>
      <w:r w:rsidRPr="0002621A">
        <w:rPr>
          <w:rFonts w:cstheme="minorHAnsi"/>
        </w:rPr>
        <w:t xml:space="preserve"> Participant shall have the right to assert its brand and style guides in order to ensure </w:t>
      </w:r>
      <w:r w:rsidR="008E5CC7">
        <w:rPr>
          <w:rFonts w:cstheme="minorHAnsi"/>
        </w:rPr>
        <w:t>Company</w:t>
      </w:r>
      <w:r w:rsidRPr="0002621A">
        <w:rPr>
          <w:rFonts w:cstheme="minorHAnsi"/>
        </w:rPr>
        <w:t xml:space="preserve">’s adherence thereto </w:t>
      </w:r>
      <w:r w:rsidR="003606DF" w:rsidRPr="0002621A">
        <w:rPr>
          <w:rFonts w:cstheme="minorHAnsi"/>
        </w:rPr>
        <w:t>when using Participant’s logo in any marketing materials relating to the event.</w:t>
      </w:r>
    </w:p>
    <w:p w14:paraId="545A824A" w14:textId="3150A396" w:rsidR="003606DF" w:rsidRPr="0002621A" w:rsidRDefault="003606DF" w:rsidP="003606DF">
      <w:pPr>
        <w:pStyle w:val="ListParagraph"/>
        <w:numPr>
          <w:ilvl w:val="1"/>
          <w:numId w:val="12"/>
        </w:numPr>
        <w:jc w:val="both"/>
        <w:rPr>
          <w:rFonts w:cstheme="minorHAnsi"/>
        </w:rPr>
      </w:pPr>
      <w:r w:rsidRPr="0002621A">
        <w:rPr>
          <w:rFonts w:cstheme="minorHAnsi"/>
          <w:u w:val="single"/>
        </w:rPr>
        <w:t>Registrant Information.</w:t>
      </w:r>
      <w:r w:rsidRPr="0002621A">
        <w:rPr>
          <w:rFonts w:cstheme="minorHAnsi"/>
        </w:rPr>
        <w:t xml:space="preserve"> Participant expressly grants </w:t>
      </w:r>
      <w:r w:rsidR="008E5CC7">
        <w:rPr>
          <w:rFonts w:cstheme="minorHAnsi"/>
        </w:rPr>
        <w:t>Company</w:t>
      </w:r>
      <w:r w:rsidRPr="0002621A">
        <w:rPr>
          <w:rFonts w:cstheme="minorHAnsi"/>
        </w:rPr>
        <w:t xml:space="preserve"> permission to distribute the information of individual representatives or attendees of the Participant (“Registrant Information”) to parties involved in the production or hosting of the event, such as hotels, co-hosts,</w:t>
      </w:r>
      <w:r w:rsidR="00EF2197">
        <w:rPr>
          <w:rFonts w:cstheme="minorHAnsi"/>
        </w:rPr>
        <w:t xml:space="preserve"> </w:t>
      </w:r>
      <w:r w:rsidRPr="0002621A">
        <w:rPr>
          <w:rFonts w:cstheme="minorHAnsi"/>
        </w:rPr>
        <w:t>and online conference hosting software (such as to ensure verification of attendees against registrants). No party who receives access to any Registrant Information shall sell such information.</w:t>
      </w:r>
      <w:r w:rsidR="008E5CC7">
        <w:rPr>
          <w:rFonts w:cstheme="minorHAnsi"/>
        </w:rPr>
        <w:t xml:space="preserve"> Company shall adhere strictly to its published DPA</w:t>
      </w:r>
      <w:r w:rsidR="00002F36">
        <w:rPr>
          <w:rFonts w:cstheme="minorHAnsi"/>
        </w:rPr>
        <w:t xml:space="preserve"> @</w:t>
      </w:r>
      <w:r w:rsidR="008E5CC7">
        <w:rPr>
          <w:rFonts w:cstheme="minorHAnsi"/>
        </w:rPr>
        <w:t xml:space="preserve"> </w:t>
      </w:r>
      <w:hyperlink r:id="rId8" w:history="1">
        <w:r w:rsidR="008E5CC7">
          <w:rPr>
            <w:rStyle w:val="Hyperlink"/>
          </w:rPr>
          <w:t>Enhesa Data Processing Agreement | Enhesa</w:t>
        </w:r>
      </w:hyperlink>
      <w:r w:rsidR="008E5CC7">
        <w:t xml:space="preserve"> and Privacy Policy </w:t>
      </w:r>
      <w:r w:rsidR="00002F36">
        <w:t xml:space="preserve">@ </w:t>
      </w:r>
      <w:hyperlink r:id="rId9" w:history="1">
        <w:r w:rsidR="00002F36" w:rsidRPr="002B0C2E">
          <w:rPr>
            <w:rStyle w:val="Hyperlink"/>
          </w:rPr>
          <w:t>https://www.enhesa.com/privacy-policy</w:t>
        </w:r>
      </w:hyperlink>
      <w:r w:rsidR="00002F36">
        <w:t xml:space="preserve"> </w:t>
      </w:r>
      <w:r w:rsidR="008E5CC7">
        <w:rPr>
          <w:rFonts w:cstheme="minorHAnsi"/>
        </w:rPr>
        <w:t>when processing Participant Personal Information.</w:t>
      </w:r>
    </w:p>
    <w:p w14:paraId="18C1C457" w14:textId="5C6F6F72" w:rsidR="0053040B" w:rsidRDefault="0053040B" w:rsidP="003606DF">
      <w:pPr>
        <w:pStyle w:val="ListParagraph"/>
        <w:numPr>
          <w:ilvl w:val="1"/>
          <w:numId w:val="12"/>
        </w:numPr>
        <w:jc w:val="both"/>
        <w:rPr>
          <w:rFonts w:cstheme="minorHAnsi"/>
        </w:rPr>
      </w:pPr>
      <w:r w:rsidRPr="0002621A">
        <w:rPr>
          <w:rFonts w:cstheme="minorHAnsi"/>
          <w:u w:val="single"/>
        </w:rPr>
        <w:t>Event Materials.</w:t>
      </w:r>
      <w:r w:rsidRPr="0002621A">
        <w:rPr>
          <w:rFonts w:cstheme="minorHAnsi"/>
        </w:rPr>
        <w:t xml:space="preserve"> </w:t>
      </w:r>
      <w:r w:rsidR="008E5CC7">
        <w:rPr>
          <w:rFonts w:cstheme="minorHAnsi"/>
        </w:rPr>
        <w:t>Company</w:t>
      </w:r>
      <w:r w:rsidRPr="0002621A">
        <w:rPr>
          <w:rFonts w:cstheme="minorHAnsi"/>
        </w:rPr>
        <w:t xml:space="preserve"> hereby licenses to Participant the right to keep, maintain, and reproduce the materials provided as support, visuals, or reference materials at the </w:t>
      </w:r>
      <w:r w:rsidR="008E5CC7">
        <w:rPr>
          <w:rFonts w:cstheme="minorHAnsi"/>
        </w:rPr>
        <w:t>Company</w:t>
      </w:r>
      <w:r w:rsidRPr="0002621A">
        <w:rPr>
          <w:rFonts w:cstheme="minorHAnsi"/>
        </w:rPr>
        <w:t xml:space="preserve"> event</w:t>
      </w:r>
      <w:r w:rsidR="008E5CC7">
        <w:rPr>
          <w:rFonts w:cstheme="minorHAnsi"/>
        </w:rPr>
        <w:t>, for internal business purposes</w:t>
      </w:r>
      <w:r w:rsidRPr="0002621A">
        <w:rPr>
          <w:rFonts w:cstheme="minorHAnsi"/>
        </w:rPr>
        <w:t xml:space="preserve">. </w:t>
      </w:r>
      <w:r w:rsidR="008E5CC7" w:rsidRPr="008E5CC7">
        <w:rPr>
          <w:rFonts w:cstheme="minorHAnsi"/>
        </w:rPr>
        <w:t xml:space="preserve">Participants </w:t>
      </w:r>
      <w:r w:rsidR="008E5CC7">
        <w:rPr>
          <w:rFonts w:cstheme="minorHAnsi"/>
        </w:rPr>
        <w:t xml:space="preserve">cannot make any other use of </w:t>
      </w:r>
      <w:r w:rsidR="008E5CC7" w:rsidRPr="008E5CC7">
        <w:rPr>
          <w:rFonts w:cstheme="minorHAnsi"/>
        </w:rPr>
        <w:t xml:space="preserve">events materials for commercial </w:t>
      </w:r>
      <w:r w:rsidR="008E5CC7">
        <w:rPr>
          <w:rFonts w:cstheme="minorHAnsi"/>
        </w:rPr>
        <w:t>purposes</w:t>
      </w:r>
      <w:r w:rsidR="008E5CC7" w:rsidRPr="008E5CC7">
        <w:rPr>
          <w:rFonts w:cstheme="minorHAnsi"/>
        </w:rPr>
        <w:t xml:space="preserve">, </w:t>
      </w:r>
      <w:r w:rsidR="008E5CC7">
        <w:rPr>
          <w:rFonts w:cstheme="minorHAnsi"/>
        </w:rPr>
        <w:t xml:space="preserve">cannot </w:t>
      </w:r>
      <w:r w:rsidR="008E5CC7" w:rsidRPr="008E5CC7">
        <w:rPr>
          <w:rFonts w:cstheme="minorHAnsi"/>
        </w:rPr>
        <w:t xml:space="preserve">remove copyright language </w:t>
      </w:r>
      <w:r w:rsidR="008E5CC7">
        <w:rPr>
          <w:rFonts w:cstheme="minorHAnsi"/>
        </w:rPr>
        <w:t xml:space="preserve">and cannot remove the </w:t>
      </w:r>
      <w:r w:rsidR="008E5CC7" w:rsidRPr="008E5CC7">
        <w:rPr>
          <w:rFonts w:cstheme="minorHAnsi"/>
        </w:rPr>
        <w:t xml:space="preserve">Enhesa </w:t>
      </w:r>
      <w:r w:rsidR="008E5CC7">
        <w:rPr>
          <w:rFonts w:cstheme="minorHAnsi"/>
        </w:rPr>
        <w:t xml:space="preserve">Group logo’s and </w:t>
      </w:r>
      <w:r w:rsidR="008E5CC7" w:rsidRPr="008E5CC7">
        <w:rPr>
          <w:rFonts w:cstheme="minorHAnsi"/>
        </w:rPr>
        <w:t>branding</w:t>
      </w:r>
      <w:r w:rsidR="008E5CC7">
        <w:rPr>
          <w:rFonts w:cstheme="minorHAnsi"/>
        </w:rPr>
        <w:t xml:space="preserve"> from any Event Materials.</w:t>
      </w:r>
    </w:p>
    <w:p w14:paraId="3DBF0F1B" w14:textId="77777777" w:rsidR="00A059F6" w:rsidRDefault="00A059F6" w:rsidP="00A059F6">
      <w:pPr>
        <w:jc w:val="both"/>
        <w:rPr>
          <w:rFonts w:cstheme="minorHAnsi"/>
        </w:rPr>
      </w:pPr>
    </w:p>
    <w:p w14:paraId="0B9DF019" w14:textId="77777777" w:rsidR="00A059F6" w:rsidRPr="00A059F6" w:rsidRDefault="00A059F6" w:rsidP="00A059F6">
      <w:pPr>
        <w:jc w:val="both"/>
        <w:rPr>
          <w:rFonts w:cstheme="minorHAnsi"/>
        </w:rPr>
      </w:pPr>
    </w:p>
    <w:p w14:paraId="16768209" w14:textId="77777777" w:rsidR="00D2713D" w:rsidRPr="00D2713D" w:rsidRDefault="00D2713D" w:rsidP="00D2713D">
      <w:pPr>
        <w:jc w:val="both"/>
        <w:rPr>
          <w:rFonts w:cstheme="minorHAnsi"/>
        </w:rPr>
      </w:pPr>
    </w:p>
    <w:p w14:paraId="15958258" w14:textId="724F504E" w:rsidR="005B2FE9" w:rsidRPr="0002621A" w:rsidRDefault="005B2FE9" w:rsidP="00F661D4">
      <w:pPr>
        <w:pStyle w:val="ListParagraph"/>
        <w:numPr>
          <w:ilvl w:val="0"/>
          <w:numId w:val="12"/>
        </w:numPr>
        <w:jc w:val="both"/>
        <w:rPr>
          <w:rFonts w:cstheme="minorHAnsi"/>
          <w:b/>
          <w:bCs/>
        </w:rPr>
      </w:pPr>
      <w:r w:rsidRPr="0002621A">
        <w:rPr>
          <w:rFonts w:cstheme="minorHAnsi"/>
          <w:b/>
          <w:bCs/>
        </w:rPr>
        <w:t>Termination</w:t>
      </w:r>
      <w:r w:rsidR="008E5CC7">
        <w:rPr>
          <w:rFonts w:cstheme="minorHAnsi"/>
          <w:b/>
          <w:bCs/>
        </w:rPr>
        <w:t xml:space="preserve"> </w:t>
      </w:r>
    </w:p>
    <w:p w14:paraId="5A8B9319" w14:textId="5AF16613" w:rsidR="005B2FE9" w:rsidRPr="0002621A" w:rsidRDefault="00B375B6" w:rsidP="005B2FE9">
      <w:pPr>
        <w:pStyle w:val="ListParagraph"/>
        <w:numPr>
          <w:ilvl w:val="1"/>
          <w:numId w:val="12"/>
        </w:numPr>
        <w:jc w:val="both"/>
        <w:rPr>
          <w:rFonts w:cstheme="minorHAnsi"/>
          <w:b/>
          <w:bCs/>
        </w:rPr>
      </w:pPr>
      <w:r w:rsidRPr="0002621A">
        <w:rPr>
          <w:rFonts w:cstheme="minorHAnsi"/>
        </w:rPr>
        <w:t xml:space="preserve">This Agreement shall continue in full force </w:t>
      </w:r>
      <w:r w:rsidR="0002621A">
        <w:rPr>
          <w:rFonts w:cstheme="minorHAnsi"/>
        </w:rPr>
        <w:t xml:space="preserve">and </w:t>
      </w:r>
      <w:r w:rsidRPr="0002621A">
        <w:rPr>
          <w:rFonts w:cstheme="minorHAnsi"/>
        </w:rPr>
        <w:t xml:space="preserve">effect until the </w:t>
      </w:r>
      <w:r w:rsidR="008E5CC7">
        <w:rPr>
          <w:rFonts w:cstheme="minorHAnsi"/>
        </w:rPr>
        <w:t>Company</w:t>
      </w:r>
      <w:r w:rsidRPr="0002621A">
        <w:rPr>
          <w:rFonts w:cstheme="minorHAnsi"/>
        </w:rPr>
        <w:t xml:space="preserve"> event is concluded. Notwithstanding the preceding sentence, all licenses granted, confidentiality obligations, and obligations concerning liabilities and indemnifications shall survive the termination or expiration of this Agreement.</w:t>
      </w:r>
    </w:p>
    <w:p w14:paraId="39FE9E05" w14:textId="7F58710B" w:rsidR="00B375B6" w:rsidRPr="004A6D06" w:rsidRDefault="00B375B6" w:rsidP="005B2FE9">
      <w:pPr>
        <w:pStyle w:val="ListParagraph"/>
        <w:numPr>
          <w:ilvl w:val="1"/>
          <w:numId w:val="12"/>
        </w:numPr>
        <w:jc w:val="both"/>
        <w:rPr>
          <w:rFonts w:cstheme="minorHAnsi"/>
          <w:b/>
          <w:bCs/>
        </w:rPr>
      </w:pPr>
      <w:r w:rsidRPr="0002621A">
        <w:rPr>
          <w:rFonts w:cstheme="minorHAnsi"/>
        </w:rPr>
        <w:t xml:space="preserve">This Agreement may be terminated for cause by either Party where a Party fails to satisfy its material obligations under this Agreement. </w:t>
      </w:r>
    </w:p>
    <w:p w14:paraId="062727B3" w14:textId="7FD3540D" w:rsidR="004A6D06" w:rsidRPr="00D2713D" w:rsidRDefault="004A6D06" w:rsidP="005B2FE9">
      <w:pPr>
        <w:pStyle w:val="ListParagraph"/>
        <w:numPr>
          <w:ilvl w:val="1"/>
          <w:numId w:val="12"/>
        </w:numPr>
        <w:jc w:val="both"/>
        <w:rPr>
          <w:rFonts w:cstheme="minorHAnsi"/>
          <w:b/>
          <w:bCs/>
        </w:rPr>
      </w:pPr>
      <w:r>
        <w:rPr>
          <w:rFonts w:cstheme="minorHAnsi"/>
        </w:rPr>
        <w:t>Participant may terminate this Agreement and request a refund for their booking. Refunds requested more than sixty (60) days from the date of the event will be in full. Refunds requested between thirty-one (31) and fifty-nine (59) days before an event shall be refunded at 50%. Participant shall not be entitled to any refunds for cancellations within thirty (30) days of an event.</w:t>
      </w:r>
    </w:p>
    <w:p w14:paraId="46414E8C" w14:textId="77777777" w:rsidR="00D2713D" w:rsidRPr="00D2713D" w:rsidRDefault="00D2713D" w:rsidP="00D2713D">
      <w:pPr>
        <w:jc w:val="both"/>
        <w:rPr>
          <w:rFonts w:cstheme="minorHAnsi"/>
          <w:b/>
          <w:bCs/>
        </w:rPr>
      </w:pPr>
    </w:p>
    <w:p w14:paraId="78D36C5B" w14:textId="2EF8B070" w:rsidR="00F661D4" w:rsidRPr="0002621A" w:rsidRDefault="00F661D4" w:rsidP="00F661D4">
      <w:pPr>
        <w:pStyle w:val="ListParagraph"/>
        <w:numPr>
          <w:ilvl w:val="0"/>
          <w:numId w:val="12"/>
        </w:numPr>
        <w:jc w:val="both"/>
        <w:rPr>
          <w:rFonts w:cstheme="minorHAnsi"/>
          <w:b/>
          <w:bCs/>
        </w:rPr>
      </w:pPr>
      <w:r w:rsidRPr="0002621A">
        <w:rPr>
          <w:rFonts w:cstheme="minorHAnsi"/>
          <w:b/>
          <w:bCs/>
        </w:rPr>
        <w:t>Indemnification</w:t>
      </w:r>
    </w:p>
    <w:p w14:paraId="7E4A1424" w14:textId="5E633C59" w:rsidR="003606DF" w:rsidRDefault="00C65265" w:rsidP="003606DF">
      <w:pPr>
        <w:pStyle w:val="ListParagraph"/>
        <w:numPr>
          <w:ilvl w:val="1"/>
          <w:numId w:val="12"/>
        </w:numPr>
        <w:jc w:val="both"/>
        <w:rPr>
          <w:rFonts w:cstheme="minorHAnsi"/>
        </w:rPr>
      </w:pPr>
      <w:r w:rsidRPr="0002621A">
        <w:rPr>
          <w:rFonts w:cstheme="minorHAnsi"/>
        </w:rPr>
        <w:t xml:space="preserve">Participant shall defend, indemnify, and hold harmless </w:t>
      </w:r>
      <w:r w:rsidR="008E5CC7">
        <w:rPr>
          <w:rFonts w:cstheme="minorHAnsi"/>
        </w:rPr>
        <w:t>Company</w:t>
      </w:r>
      <w:r w:rsidRPr="0002621A">
        <w:rPr>
          <w:rFonts w:cstheme="minorHAnsi"/>
        </w:rPr>
        <w:t xml:space="preserve">, its employees, executives, agents, and executives from any and all causes of action brought by a third party by virtue of </w:t>
      </w:r>
      <w:r w:rsidR="008E5CC7">
        <w:rPr>
          <w:rFonts w:cstheme="minorHAnsi"/>
        </w:rPr>
        <w:t>Company</w:t>
      </w:r>
      <w:r w:rsidRPr="0002621A">
        <w:rPr>
          <w:rFonts w:cstheme="minorHAnsi"/>
        </w:rPr>
        <w:t>’s performance under this Agreement concerning (</w:t>
      </w:r>
      <w:proofErr w:type="spellStart"/>
      <w:r w:rsidRPr="0002621A">
        <w:rPr>
          <w:rFonts w:cstheme="minorHAnsi"/>
        </w:rPr>
        <w:t>i</w:t>
      </w:r>
      <w:proofErr w:type="spellEnd"/>
      <w:r w:rsidRPr="0002621A">
        <w:rPr>
          <w:rFonts w:cstheme="minorHAnsi"/>
        </w:rPr>
        <w:t xml:space="preserve">) violation of intellectual property rights based on materials provided by Participant; (ii) accidental death or physical injury arising from attendance at an event; or (iii) any alleged or actual failure to act or omission. </w:t>
      </w:r>
      <w:r w:rsidR="008E5CC7">
        <w:rPr>
          <w:rFonts w:cstheme="minorHAnsi"/>
        </w:rPr>
        <w:t>Company</w:t>
      </w:r>
      <w:r w:rsidRPr="0002621A">
        <w:rPr>
          <w:rFonts w:cstheme="minorHAnsi"/>
        </w:rPr>
        <w:t xml:space="preserve"> shall not be entitled to indemnification where a cause of action arises from </w:t>
      </w:r>
      <w:r w:rsidR="008E5CC7">
        <w:rPr>
          <w:rFonts w:cstheme="minorHAnsi"/>
        </w:rPr>
        <w:t>Company</w:t>
      </w:r>
      <w:r w:rsidRPr="0002621A">
        <w:rPr>
          <w:rFonts w:cstheme="minorHAnsi"/>
        </w:rPr>
        <w:t>’s gross negligence or willful and wrongful act.</w:t>
      </w:r>
    </w:p>
    <w:p w14:paraId="71D6BAB9" w14:textId="77777777" w:rsidR="00D2713D" w:rsidRPr="00D2713D" w:rsidRDefault="00D2713D" w:rsidP="00D2713D">
      <w:pPr>
        <w:jc w:val="both"/>
        <w:rPr>
          <w:rFonts w:cstheme="minorHAnsi"/>
        </w:rPr>
      </w:pPr>
    </w:p>
    <w:p w14:paraId="74918902" w14:textId="24EBF680" w:rsidR="00F661D4" w:rsidRPr="0002621A" w:rsidRDefault="00F661D4" w:rsidP="00F661D4">
      <w:pPr>
        <w:pStyle w:val="ListParagraph"/>
        <w:numPr>
          <w:ilvl w:val="0"/>
          <w:numId w:val="12"/>
        </w:numPr>
        <w:jc w:val="both"/>
        <w:rPr>
          <w:rFonts w:cstheme="minorHAnsi"/>
          <w:b/>
          <w:bCs/>
        </w:rPr>
      </w:pPr>
      <w:r w:rsidRPr="0002621A">
        <w:rPr>
          <w:rFonts w:cstheme="minorHAnsi"/>
          <w:b/>
          <w:bCs/>
        </w:rPr>
        <w:t>Limitation of Liability</w:t>
      </w:r>
    </w:p>
    <w:p w14:paraId="52B39261" w14:textId="4E547E02" w:rsidR="00C65265" w:rsidRPr="0002621A" w:rsidRDefault="00C65265" w:rsidP="00C65265">
      <w:pPr>
        <w:pStyle w:val="ListParagraph"/>
        <w:numPr>
          <w:ilvl w:val="1"/>
          <w:numId w:val="12"/>
        </w:numPr>
        <w:jc w:val="both"/>
        <w:rPr>
          <w:rFonts w:cstheme="minorHAnsi"/>
        </w:rPr>
      </w:pPr>
      <w:r w:rsidRPr="0002621A">
        <w:rPr>
          <w:rFonts w:cstheme="minorHAnsi"/>
        </w:rPr>
        <w:t>In no event, except for indemnification, shall a Party be liable to the other for any amounts in excess of the aggregate contract value between the Parties</w:t>
      </w:r>
      <w:r w:rsidR="008E5CC7">
        <w:rPr>
          <w:rFonts w:cstheme="minorHAnsi"/>
        </w:rPr>
        <w:t>.</w:t>
      </w:r>
    </w:p>
    <w:p w14:paraId="354E4A81" w14:textId="20FB81C3" w:rsidR="00B375B6" w:rsidRDefault="008E5CC7" w:rsidP="00C65265">
      <w:pPr>
        <w:pStyle w:val="ListParagraph"/>
        <w:numPr>
          <w:ilvl w:val="1"/>
          <w:numId w:val="12"/>
        </w:numPr>
        <w:jc w:val="both"/>
        <w:rPr>
          <w:rFonts w:cstheme="minorHAnsi"/>
        </w:rPr>
      </w:pPr>
      <w:r>
        <w:rPr>
          <w:rFonts w:cstheme="minorHAnsi"/>
        </w:rPr>
        <w:t>Company</w:t>
      </w:r>
      <w:r w:rsidR="00B375B6" w:rsidRPr="0002621A">
        <w:rPr>
          <w:rFonts w:cstheme="minorHAnsi"/>
        </w:rPr>
        <w:t xml:space="preserve"> shall not be liable for any disruptions or harm arising from third party mediums such as streaming platforms, event venues, or Participant firewalls and </w:t>
      </w:r>
      <w:r w:rsidR="00B375B6" w:rsidRPr="0002621A">
        <w:rPr>
          <w:rFonts w:cstheme="minorHAnsi"/>
        </w:rPr>
        <w:lastRenderedPageBreak/>
        <w:t xml:space="preserve">technology filters which may present an issue. </w:t>
      </w:r>
      <w:r>
        <w:rPr>
          <w:rFonts w:cstheme="minorHAnsi"/>
        </w:rPr>
        <w:t>Company</w:t>
      </w:r>
      <w:r w:rsidR="00B375B6" w:rsidRPr="0002621A">
        <w:rPr>
          <w:rFonts w:cstheme="minorHAnsi"/>
        </w:rPr>
        <w:t xml:space="preserve"> shall use all commercially reasonable and sound decision making in selecting vendors to support </w:t>
      </w:r>
      <w:r>
        <w:rPr>
          <w:rFonts w:cstheme="minorHAnsi"/>
        </w:rPr>
        <w:t>Company</w:t>
      </w:r>
      <w:r w:rsidR="00B375B6" w:rsidRPr="0002621A">
        <w:rPr>
          <w:rFonts w:cstheme="minorHAnsi"/>
        </w:rPr>
        <w:t xml:space="preserve"> events.</w:t>
      </w:r>
    </w:p>
    <w:p w14:paraId="43038A52" w14:textId="77777777" w:rsidR="00D2713D" w:rsidRPr="00D2713D" w:rsidRDefault="00D2713D" w:rsidP="00D2713D">
      <w:pPr>
        <w:jc w:val="both"/>
        <w:rPr>
          <w:rFonts w:cstheme="minorHAnsi"/>
        </w:rPr>
      </w:pPr>
    </w:p>
    <w:p w14:paraId="6FD52B8C" w14:textId="7E792B0A" w:rsidR="00F661D4" w:rsidRPr="0002621A" w:rsidRDefault="00F661D4" w:rsidP="00F661D4">
      <w:pPr>
        <w:pStyle w:val="ListParagraph"/>
        <w:numPr>
          <w:ilvl w:val="0"/>
          <w:numId w:val="12"/>
        </w:numPr>
        <w:jc w:val="both"/>
        <w:rPr>
          <w:rFonts w:cstheme="minorHAnsi"/>
          <w:b/>
          <w:bCs/>
        </w:rPr>
      </w:pPr>
      <w:r w:rsidRPr="0002621A">
        <w:rPr>
          <w:rFonts w:cstheme="minorHAnsi"/>
          <w:b/>
          <w:bCs/>
        </w:rPr>
        <w:t>Disputes</w:t>
      </w:r>
    </w:p>
    <w:p w14:paraId="6B90922D" w14:textId="3A135FB3" w:rsidR="00C65265" w:rsidRDefault="005B2FE9" w:rsidP="00C65265">
      <w:pPr>
        <w:pStyle w:val="ListParagraph"/>
        <w:numPr>
          <w:ilvl w:val="1"/>
          <w:numId w:val="12"/>
        </w:numPr>
        <w:jc w:val="both"/>
        <w:rPr>
          <w:rFonts w:cstheme="minorHAnsi"/>
        </w:rPr>
      </w:pPr>
      <w:r w:rsidRPr="0002621A">
        <w:rPr>
          <w:rFonts w:cstheme="minorHAnsi"/>
        </w:rPr>
        <w:t xml:space="preserve">Any dispute arising from either Party’s performance under this Agreement shall be adjudicated in Belgium and subject to the laws thereof without respect to any assertion of conflicts of interests rules. Each Party shall bear their own costs associated with bringing any claim before </w:t>
      </w:r>
      <w:r w:rsidR="0002621A">
        <w:rPr>
          <w:rFonts w:cstheme="minorHAnsi"/>
        </w:rPr>
        <w:t xml:space="preserve">the Brussels’ </w:t>
      </w:r>
      <w:r w:rsidRPr="0002621A">
        <w:rPr>
          <w:rFonts w:cstheme="minorHAnsi"/>
        </w:rPr>
        <w:t xml:space="preserve">courts. Where applicable, the Parties shall waive any rights to demand a jury to evaluate any claim. </w:t>
      </w:r>
    </w:p>
    <w:p w14:paraId="10F75EC1" w14:textId="77777777" w:rsidR="00D2713D" w:rsidRPr="00D2713D" w:rsidRDefault="00D2713D" w:rsidP="00D2713D">
      <w:pPr>
        <w:jc w:val="both"/>
        <w:rPr>
          <w:rFonts w:cstheme="minorHAnsi"/>
        </w:rPr>
      </w:pPr>
    </w:p>
    <w:p w14:paraId="6D7D45DE" w14:textId="688ECEC5" w:rsidR="00F661D4" w:rsidRPr="0002621A" w:rsidRDefault="00F661D4" w:rsidP="00F661D4">
      <w:pPr>
        <w:pStyle w:val="ListParagraph"/>
        <w:numPr>
          <w:ilvl w:val="0"/>
          <w:numId w:val="12"/>
        </w:numPr>
        <w:jc w:val="both"/>
        <w:rPr>
          <w:rFonts w:cstheme="minorHAnsi"/>
          <w:b/>
          <w:bCs/>
        </w:rPr>
      </w:pPr>
      <w:r w:rsidRPr="0002621A">
        <w:rPr>
          <w:rFonts w:cstheme="minorHAnsi"/>
          <w:b/>
          <w:bCs/>
        </w:rPr>
        <w:t>Miscellaneous</w:t>
      </w:r>
    </w:p>
    <w:p w14:paraId="4557FC09" w14:textId="567BB7F9" w:rsidR="005B2FE9" w:rsidRPr="0002621A" w:rsidRDefault="005B2FE9" w:rsidP="005B2FE9">
      <w:pPr>
        <w:pStyle w:val="ListParagraph"/>
        <w:numPr>
          <w:ilvl w:val="1"/>
          <w:numId w:val="12"/>
        </w:numPr>
        <w:jc w:val="both"/>
        <w:rPr>
          <w:rFonts w:cstheme="minorHAnsi"/>
        </w:rPr>
      </w:pPr>
      <w:r w:rsidRPr="0002621A">
        <w:rPr>
          <w:rFonts w:cstheme="minorHAnsi"/>
          <w:u w:val="single"/>
        </w:rPr>
        <w:t>Waiver.</w:t>
      </w:r>
      <w:r w:rsidRPr="0002621A">
        <w:rPr>
          <w:rFonts w:cstheme="minorHAnsi"/>
        </w:rPr>
        <w:t xml:space="preserve"> Any assertion of a right or privilege granted under this Agreement shall not be to the exclusion of any other right or remedy a Party may have. All rights exercised are cumulative and rights not exercised by a Party are reserved thereby.</w:t>
      </w:r>
    </w:p>
    <w:p w14:paraId="38297F7C" w14:textId="2CAACE9B" w:rsidR="005B2FE9" w:rsidRPr="0002621A" w:rsidRDefault="005B2FE9" w:rsidP="005B2FE9">
      <w:pPr>
        <w:pStyle w:val="ListParagraph"/>
        <w:numPr>
          <w:ilvl w:val="1"/>
          <w:numId w:val="12"/>
        </w:numPr>
        <w:jc w:val="both"/>
        <w:rPr>
          <w:rFonts w:cstheme="minorHAnsi"/>
        </w:rPr>
      </w:pPr>
      <w:r w:rsidRPr="0002621A">
        <w:rPr>
          <w:rFonts w:cstheme="minorHAnsi"/>
          <w:u w:val="single"/>
        </w:rPr>
        <w:t>Counterparts.</w:t>
      </w:r>
      <w:r w:rsidRPr="0002621A">
        <w:rPr>
          <w:rFonts w:cstheme="minorHAnsi"/>
        </w:rPr>
        <w:t xml:space="preserve"> This Agreement may be executed in counterparts and considered effective as of the last date of signature.</w:t>
      </w:r>
    </w:p>
    <w:p w14:paraId="2DE7C18B" w14:textId="3A46119F" w:rsidR="005B2FE9" w:rsidRPr="0002621A" w:rsidRDefault="00B375B6" w:rsidP="005B2FE9">
      <w:pPr>
        <w:pStyle w:val="ListParagraph"/>
        <w:numPr>
          <w:ilvl w:val="1"/>
          <w:numId w:val="12"/>
        </w:numPr>
        <w:jc w:val="both"/>
        <w:rPr>
          <w:rFonts w:cstheme="minorHAnsi"/>
        </w:rPr>
      </w:pPr>
      <w:r w:rsidRPr="0002621A">
        <w:rPr>
          <w:rFonts w:cstheme="minorHAnsi"/>
          <w:u w:val="single"/>
        </w:rPr>
        <w:t>Compliance with Laws.</w:t>
      </w:r>
      <w:r w:rsidRPr="0002621A">
        <w:rPr>
          <w:rFonts w:cstheme="minorHAnsi"/>
        </w:rPr>
        <w:t xml:space="preserve"> The Parties agree that they shall, at all times, comply with all laws and regulations applicable to their business and operations. </w:t>
      </w:r>
    </w:p>
    <w:p w14:paraId="3FAEEEA5" w14:textId="7D57A63D" w:rsidR="00C758B0" w:rsidRPr="0002621A" w:rsidRDefault="00C758B0" w:rsidP="005B2FE9">
      <w:pPr>
        <w:pStyle w:val="ListParagraph"/>
        <w:numPr>
          <w:ilvl w:val="1"/>
          <w:numId w:val="12"/>
        </w:numPr>
        <w:jc w:val="both"/>
        <w:rPr>
          <w:rFonts w:cstheme="minorHAnsi"/>
        </w:rPr>
      </w:pPr>
      <w:r w:rsidRPr="0002621A">
        <w:rPr>
          <w:rFonts w:cstheme="minorHAnsi"/>
          <w:u w:val="single"/>
        </w:rPr>
        <w:t>Notices.</w:t>
      </w:r>
      <w:r w:rsidRPr="0002621A">
        <w:rPr>
          <w:rFonts w:cstheme="minorHAnsi"/>
        </w:rPr>
        <w:t xml:space="preserve"> Notices under this Agreement shall be sent to </w:t>
      </w:r>
      <w:hyperlink r:id="rId10" w:history="1">
        <w:r w:rsidRPr="0002621A">
          <w:rPr>
            <w:rStyle w:val="Hyperlink"/>
            <w:rFonts w:cstheme="minorHAnsi"/>
          </w:rPr>
          <w:t>legal@enhesa.com</w:t>
        </w:r>
      </w:hyperlink>
      <w:r w:rsidRPr="0002621A">
        <w:rPr>
          <w:rFonts w:cstheme="minorHAnsi"/>
        </w:rPr>
        <w:t>.</w:t>
      </w:r>
    </w:p>
    <w:p w14:paraId="6103569D" w14:textId="22FD4384" w:rsidR="00C758B0" w:rsidRPr="0002621A" w:rsidRDefault="00C758B0" w:rsidP="005B2FE9">
      <w:pPr>
        <w:pStyle w:val="ListParagraph"/>
        <w:numPr>
          <w:ilvl w:val="1"/>
          <w:numId w:val="12"/>
        </w:numPr>
        <w:jc w:val="both"/>
        <w:rPr>
          <w:rFonts w:cstheme="minorHAnsi"/>
        </w:rPr>
      </w:pPr>
      <w:r w:rsidRPr="0002621A">
        <w:rPr>
          <w:rFonts w:cstheme="minorHAnsi"/>
          <w:u w:val="single"/>
        </w:rPr>
        <w:t>Entire Agreement.</w:t>
      </w:r>
      <w:r w:rsidRPr="0002621A">
        <w:rPr>
          <w:rFonts w:cstheme="minorHAnsi"/>
        </w:rPr>
        <w:t xml:space="preserve"> This Agreement, in combination with any relevant statement of work or registration agreement, represents the entire understanding of the Parties. This Agreement shall supersede and have primacy over any oral or prior agreement between the Parties.</w:t>
      </w:r>
      <w:r w:rsidR="00706FF6" w:rsidRPr="0002621A">
        <w:rPr>
          <w:rFonts w:cstheme="minorHAnsi"/>
        </w:rPr>
        <w:t xml:space="preserve"> Where a conflict arises between this Agreement </w:t>
      </w:r>
      <w:r w:rsidR="00246638">
        <w:rPr>
          <w:rFonts w:cstheme="minorHAnsi"/>
        </w:rPr>
        <w:t xml:space="preserve">and Company’s General Terms and Conditions, </w:t>
      </w:r>
      <w:r w:rsidR="00863774">
        <w:rPr>
          <w:rFonts w:cstheme="minorHAnsi"/>
        </w:rPr>
        <w:t xml:space="preserve">this Agreement shall prevail. </w:t>
      </w:r>
      <w:r w:rsidR="00B72CF0" w:rsidRPr="0002621A">
        <w:rPr>
          <w:rFonts w:cstheme="minorHAnsi"/>
        </w:rPr>
        <w:t xml:space="preserve">Where a conflict arises between this Agreement </w:t>
      </w:r>
      <w:r w:rsidR="00B72CF0">
        <w:rPr>
          <w:rFonts w:cstheme="minorHAnsi"/>
        </w:rPr>
        <w:t xml:space="preserve">and </w:t>
      </w:r>
      <w:r w:rsidR="00706FF6" w:rsidRPr="0002621A">
        <w:rPr>
          <w:rFonts w:cstheme="minorHAnsi"/>
        </w:rPr>
        <w:t>any registration agreement or statement of work, the registration agreement or statement of work’s specific deviations shall control the interpretation of that matter.</w:t>
      </w:r>
      <w:r w:rsidR="005728C5" w:rsidRPr="0002621A">
        <w:rPr>
          <w:rFonts w:cstheme="minorHAnsi"/>
        </w:rPr>
        <w:t xml:space="preserve"> </w:t>
      </w:r>
      <w:r w:rsidR="005728C5" w:rsidRPr="0002621A">
        <w:rPr>
          <w:rFonts w:cstheme="minorHAnsi"/>
        </w:rPr>
        <w:t>No assertion of terms, whether on a purchase order (“shrink wrap”) or required to submit invoices or gain access (“click wrap”) shall have any effect between the Parties with respect to the purpose of this Agreement.</w:t>
      </w:r>
    </w:p>
    <w:p w14:paraId="23EE54DB" w14:textId="59AD1F03" w:rsidR="00C758B0" w:rsidRPr="0002621A" w:rsidRDefault="00C758B0" w:rsidP="005B2FE9">
      <w:pPr>
        <w:pStyle w:val="ListParagraph"/>
        <w:numPr>
          <w:ilvl w:val="1"/>
          <w:numId w:val="12"/>
        </w:numPr>
        <w:jc w:val="both"/>
        <w:rPr>
          <w:rFonts w:cstheme="minorHAnsi"/>
        </w:rPr>
      </w:pPr>
      <w:r w:rsidRPr="0002621A">
        <w:rPr>
          <w:rFonts w:cstheme="minorHAnsi"/>
          <w:u w:val="single"/>
        </w:rPr>
        <w:t>Severability and Reform.</w:t>
      </w:r>
      <w:r w:rsidRPr="0002621A">
        <w:rPr>
          <w:rFonts w:cstheme="minorHAnsi"/>
        </w:rPr>
        <w:t xml:space="preserve"> Where this Agreement or any term herein is considered void as a matter of law, the Parties shall reconvene to amend, modify, or</w:t>
      </w:r>
      <w:r w:rsidR="00706FF6" w:rsidRPr="0002621A">
        <w:rPr>
          <w:rFonts w:cstheme="minorHAnsi"/>
        </w:rPr>
        <w:t xml:space="preserve"> re-draft this Agreement to comport with the law.</w:t>
      </w:r>
      <w:r w:rsidRPr="0002621A">
        <w:rPr>
          <w:rFonts w:cstheme="minorHAnsi"/>
        </w:rPr>
        <w:t xml:space="preserve"> </w:t>
      </w:r>
    </w:p>
    <w:p w14:paraId="576088B7" w14:textId="4133F751" w:rsidR="00706FF6" w:rsidRPr="00BC137B" w:rsidRDefault="00706FF6" w:rsidP="00706FF6">
      <w:pPr>
        <w:pStyle w:val="ListParagraph"/>
        <w:numPr>
          <w:ilvl w:val="1"/>
          <w:numId w:val="12"/>
        </w:numPr>
        <w:jc w:val="both"/>
        <w:rPr>
          <w:rFonts w:cstheme="minorHAnsi"/>
        </w:rPr>
      </w:pPr>
      <w:r w:rsidRPr="0002621A">
        <w:rPr>
          <w:rFonts w:cstheme="minorHAnsi"/>
          <w:u w:val="single"/>
        </w:rPr>
        <w:t>Assignment.</w:t>
      </w:r>
      <w:r w:rsidRPr="0002621A">
        <w:rPr>
          <w:rFonts w:cstheme="minorHAnsi"/>
        </w:rPr>
        <w:t xml:space="preserve"> This Agreement shall not be assigned by either Party by, contract, operation of law, or otherwise, without the express written consent of the other, such consent shall not be unreasonably conditioned or withheld.</w:t>
      </w:r>
    </w:p>
    <w:sectPr w:rsidR="00706FF6" w:rsidRPr="00BC137B" w:rsidSect="00A059F6">
      <w:headerReference w:type="default" r:id="rId11"/>
      <w:footerReference w:type="default" r:id="rId12"/>
      <w:headerReference w:type="first" r:id="rId13"/>
      <w:footerReference w:type="first" r:id="rId14"/>
      <w:pgSz w:w="11906" w:h="16838" w:code="9"/>
      <w:pgMar w:top="2041" w:right="1134" w:bottom="1134" w:left="1134" w:header="720" w:footer="550"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181D" w14:textId="77777777" w:rsidR="00F869E2" w:rsidRDefault="00F869E2" w:rsidP="00822A1B">
      <w:r>
        <w:separator/>
      </w:r>
    </w:p>
  </w:endnote>
  <w:endnote w:type="continuationSeparator" w:id="0">
    <w:p w14:paraId="16853999" w14:textId="77777777" w:rsidR="00F869E2" w:rsidRDefault="00F869E2" w:rsidP="0082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C614" w14:textId="58A676C8" w:rsidR="002235CB" w:rsidRDefault="002235CB" w:rsidP="00F06A79">
    <w:pPr>
      <w:pStyle w:val="Footer"/>
      <w:tabs>
        <w:tab w:val="clear" w:pos="9360"/>
        <w:tab w:val="right" w:pos="9638"/>
      </w:tabs>
    </w:pPr>
    <w:r>
      <w:t xml:space="preserve">© </w:t>
    </w:r>
    <w:r w:rsidR="00002F36">
      <w:t>Enhesa</w:t>
    </w:r>
    <w:r>
      <w:tab/>
    </w:r>
    <w:r>
      <w:tab/>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1370" w14:textId="54258116" w:rsidR="00C473F4" w:rsidRDefault="00C473F4" w:rsidP="00C473F4">
    <w:pPr>
      <w:pStyle w:val="Footer"/>
      <w:tabs>
        <w:tab w:val="clear" w:pos="9360"/>
        <w:tab w:val="right" w:pos="9638"/>
      </w:tabs>
    </w:pPr>
    <w:r>
      <w:t xml:space="preserve">© </w:t>
    </w:r>
    <w:r w:rsidR="00002F36">
      <w:t>Enhesa</w:t>
    </w:r>
    <w:r>
      <w:tab/>
    </w:r>
    <w:r>
      <w:tab/>
      <w:t xml:space="preserve">page </w:t>
    </w:r>
    <w:r>
      <w:fldChar w:fldCharType="begin"/>
    </w:r>
    <w:r>
      <w:instrText xml:space="preserve"> PAGE  \* Arabic  \* MERGEFORMAT </w:instrText>
    </w:r>
    <w:r>
      <w:fldChar w:fldCharType="separate"/>
    </w:r>
    <w:r>
      <w:t>2</w:t>
    </w:r>
    <w:r>
      <w:fldChar w:fldCharType="end"/>
    </w:r>
    <w:r>
      <w:t xml:space="preserve"> of </w:t>
    </w:r>
    <w:fldSimple w:instr=" NUMPAGES  \* Arabic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88A6" w14:textId="77777777" w:rsidR="00F869E2" w:rsidRDefault="00F869E2" w:rsidP="00822A1B">
      <w:r>
        <w:separator/>
      </w:r>
    </w:p>
  </w:footnote>
  <w:footnote w:type="continuationSeparator" w:id="0">
    <w:p w14:paraId="45D5F241" w14:textId="77777777" w:rsidR="00F869E2" w:rsidRDefault="00F869E2" w:rsidP="0082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5EE1" w14:textId="4D39CF15" w:rsidR="00F30C92" w:rsidRDefault="00F30C92">
    <w:pPr>
      <w:pStyle w:val="Header"/>
    </w:pPr>
    <w:r>
      <w:rPr>
        <w:noProof/>
      </w:rPr>
      <w:drawing>
        <wp:anchor distT="0" distB="0" distL="114300" distR="114300" simplePos="0" relativeHeight="251657728" behindDoc="1" locked="1" layoutInCell="1" allowOverlap="1" wp14:anchorId="7B9A2EA4" wp14:editId="19C527AF">
          <wp:simplePos x="0" y="0"/>
          <wp:positionH relativeFrom="page">
            <wp:posOffset>0</wp:posOffset>
          </wp:positionH>
          <wp:positionV relativeFrom="page">
            <wp:posOffset>-9525</wp:posOffset>
          </wp:positionV>
          <wp:extent cx="7563485" cy="10695305"/>
          <wp:effectExtent l="0" t="0" r="0" b="0"/>
          <wp:wrapNone/>
          <wp:docPr id="2" name="Picture 2" descr="A picture containing light, traffic, green,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Letterhead template A4_Back Small.png"/>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53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3F3E" w14:textId="5BE1E21C" w:rsidR="000F0A7C" w:rsidRDefault="00F30C92" w:rsidP="00186665">
    <w:pPr>
      <w:pStyle w:val="LetterEnhesaaddress"/>
    </w:pPr>
    <w:r>
      <w:rPr>
        <w:noProof/>
      </w:rPr>
      <w:drawing>
        <wp:anchor distT="0" distB="0" distL="114300" distR="114300" simplePos="0" relativeHeight="251656704" behindDoc="1" locked="1" layoutInCell="1" allowOverlap="1" wp14:anchorId="16EA52E4" wp14:editId="03AC2B8F">
          <wp:simplePos x="0" y="0"/>
          <wp:positionH relativeFrom="page">
            <wp:posOffset>0</wp:posOffset>
          </wp:positionH>
          <wp:positionV relativeFrom="page">
            <wp:posOffset>0</wp:posOffset>
          </wp:positionV>
          <wp:extent cx="7563600" cy="10695600"/>
          <wp:effectExtent l="0" t="0" r="0" b="0"/>
          <wp:wrapNone/>
          <wp:docPr id="1" name="Picture 1" descr="A picture containing green, light, traffic,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Letterhead template A4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26F"/>
    <w:multiLevelType w:val="multilevel"/>
    <w:tmpl w:val="148462B0"/>
    <w:numStyleLink w:val="Enhesanumbers"/>
  </w:abstractNum>
  <w:abstractNum w:abstractNumId="1" w15:restartNumberingAfterBreak="0">
    <w:nsid w:val="161C5F84"/>
    <w:multiLevelType w:val="multilevel"/>
    <w:tmpl w:val="148462B0"/>
    <w:styleLink w:val="Enhesanumbers"/>
    <w:lvl w:ilvl="0">
      <w:start w:val="1"/>
      <w:numFmt w:val="decimal"/>
      <w:pStyle w:val="Listnumber"/>
      <w:lvlText w:val="%1."/>
      <w:lvlJc w:val="left"/>
      <w:pPr>
        <w:ind w:left="454" w:hanging="227"/>
      </w:pPr>
      <w:rPr>
        <w:rFonts w:hint="default"/>
        <w:color w:val="F7A600" w:themeColor="accent1"/>
      </w:rPr>
    </w:lvl>
    <w:lvl w:ilvl="1">
      <w:start w:val="1"/>
      <w:numFmt w:val="lowerLetter"/>
      <w:lvlText w:val="%2)"/>
      <w:lvlJc w:val="left"/>
      <w:pPr>
        <w:ind w:left="794" w:hanging="34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7D3"/>
    <w:multiLevelType w:val="hybridMultilevel"/>
    <w:tmpl w:val="B9268732"/>
    <w:lvl w:ilvl="0" w:tplc="0F848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E2232"/>
    <w:multiLevelType w:val="multilevel"/>
    <w:tmpl w:val="615EEC50"/>
    <w:styleLink w:val="Enhesa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8450F48"/>
    <w:multiLevelType w:val="multilevel"/>
    <w:tmpl w:val="615EEC50"/>
    <w:numStyleLink w:val="Enhesaheadings"/>
  </w:abstractNum>
  <w:abstractNum w:abstractNumId="5" w15:restartNumberingAfterBreak="0">
    <w:nsid w:val="296B1AEC"/>
    <w:multiLevelType w:val="multilevel"/>
    <w:tmpl w:val="DBEA378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0C14D3"/>
    <w:multiLevelType w:val="multilevel"/>
    <w:tmpl w:val="B30454F4"/>
    <w:numStyleLink w:val="Enhesabullets"/>
  </w:abstractNum>
  <w:abstractNum w:abstractNumId="7" w15:restartNumberingAfterBreak="0">
    <w:nsid w:val="54115C47"/>
    <w:multiLevelType w:val="multilevel"/>
    <w:tmpl w:val="B30454F4"/>
    <w:numStyleLink w:val="Enhesabullets"/>
  </w:abstractNum>
  <w:abstractNum w:abstractNumId="8" w15:restartNumberingAfterBreak="0">
    <w:nsid w:val="6A7022EF"/>
    <w:multiLevelType w:val="multilevel"/>
    <w:tmpl w:val="B30454F4"/>
    <w:styleLink w:val="Enhesabullets"/>
    <w:lvl w:ilvl="0">
      <w:start w:val="1"/>
      <w:numFmt w:val="bullet"/>
      <w:pStyle w:val="Listbullet"/>
      <w:lvlText w:val=""/>
      <w:lvlJc w:val="left"/>
      <w:pPr>
        <w:ind w:left="454" w:hanging="227"/>
      </w:pPr>
      <w:rPr>
        <w:rFonts w:ascii="Symbol" w:hAnsi="Symbol" w:hint="default"/>
        <w:color w:val="F7A600" w:themeColor="accent1"/>
      </w:rPr>
    </w:lvl>
    <w:lvl w:ilvl="1">
      <w:start w:val="1"/>
      <w:numFmt w:val="bullet"/>
      <w:lvlText w:val=""/>
      <w:lvlJc w:val="left"/>
      <w:pPr>
        <w:ind w:left="680" w:hanging="226"/>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2443759">
    <w:abstractNumId w:val="8"/>
  </w:num>
  <w:num w:numId="2" w16cid:durableId="2051804739">
    <w:abstractNumId w:val="7"/>
  </w:num>
  <w:num w:numId="3" w16cid:durableId="392512177">
    <w:abstractNumId w:val="6"/>
  </w:num>
  <w:num w:numId="4" w16cid:durableId="1945191550">
    <w:abstractNumId w:val="3"/>
  </w:num>
  <w:num w:numId="5" w16cid:durableId="1988820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8518885">
    <w:abstractNumId w:val="1"/>
  </w:num>
  <w:num w:numId="7" w16cid:durableId="724568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945137">
    <w:abstractNumId w:val="0"/>
  </w:num>
  <w:num w:numId="9" w16cid:durableId="2071265989">
    <w:abstractNumId w:val="4"/>
  </w:num>
  <w:num w:numId="10" w16cid:durableId="16915646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3866534">
    <w:abstractNumId w:val="2"/>
  </w:num>
  <w:num w:numId="12" w16cid:durableId="523446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E8"/>
    <w:rsid w:val="00002F36"/>
    <w:rsid w:val="00016BDC"/>
    <w:rsid w:val="00024AD8"/>
    <w:rsid w:val="0002621A"/>
    <w:rsid w:val="00036BBF"/>
    <w:rsid w:val="000532C4"/>
    <w:rsid w:val="0006060D"/>
    <w:rsid w:val="00071B01"/>
    <w:rsid w:val="0008114A"/>
    <w:rsid w:val="0009101B"/>
    <w:rsid w:val="000C4063"/>
    <w:rsid w:val="000D0492"/>
    <w:rsid w:val="000D279B"/>
    <w:rsid w:val="000E20C8"/>
    <w:rsid w:val="000F0A7C"/>
    <w:rsid w:val="000F466B"/>
    <w:rsid w:val="00123507"/>
    <w:rsid w:val="0012766E"/>
    <w:rsid w:val="0013229F"/>
    <w:rsid w:val="00141FC4"/>
    <w:rsid w:val="00147008"/>
    <w:rsid w:val="001516D3"/>
    <w:rsid w:val="001559DC"/>
    <w:rsid w:val="00160F1A"/>
    <w:rsid w:val="00185E9F"/>
    <w:rsid w:val="00186665"/>
    <w:rsid w:val="00196EBE"/>
    <w:rsid w:val="00197E25"/>
    <w:rsid w:val="001A1D1D"/>
    <w:rsid w:val="001A7724"/>
    <w:rsid w:val="001D12C4"/>
    <w:rsid w:val="001E10D0"/>
    <w:rsid w:val="001F2262"/>
    <w:rsid w:val="001F7B90"/>
    <w:rsid w:val="00200919"/>
    <w:rsid w:val="0020410F"/>
    <w:rsid w:val="00206448"/>
    <w:rsid w:val="0020695D"/>
    <w:rsid w:val="002100C5"/>
    <w:rsid w:val="002235CB"/>
    <w:rsid w:val="00226C43"/>
    <w:rsid w:val="00235B3E"/>
    <w:rsid w:val="00237EE1"/>
    <w:rsid w:val="002405C8"/>
    <w:rsid w:val="00246638"/>
    <w:rsid w:val="002467E7"/>
    <w:rsid w:val="00262A2E"/>
    <w:rsid w:val="00266FBE"/>
    <w:rsid w:val="00290737"/>
    <w:rsid w:val="00291A9D"/>
    <w:rsid w:val="00293885"/>
    <w:rsid w:val="002A3331"/>
    <w:rsid w:val="002B7B6A"/>
    <w:rsid w:val="002C21AA"/>
    <w:rsid w:val="002D0E70"/>
    <w:rsid w:val="002D5DD0"/>
    <w:rsid w:val="002E387E"/>
    <w:rsid w:val="002F1389"/>
    <w:rsid w:val="00307EBE"/>
    <w:rsid w:val="00314304"/>
    <w:rsid w:val="003174F9"/>
    <w:rsid w:val="00322CE6"/>
    <w:rsid w:val="003238B2"/>
    <w:rsid w:val="00330AAA"/>
    <w:rsid w:val="003420C4"/>
    <w:rsid w:val="003451EE"/>
    <w:rsid w:val="003606DF"/>
    <w:rsid w:val="003652AA"/>
    <w:rsid w:val="0036543B"/>
    <w:rsid w:val="00367E85"/>
    <w:rsid w:val="003769E0"/>
    <w:rsid w:val="00382C29"/>
    <w:rsid w:val="00384055"/>
    <w:rsid w:val="0039163B"/>
    <w:rsid w:val="003A3F2C"/>
    <w:rsid w:val="003B4D45"/>
    <w:rsid w:val="003B550A"/>
    <w:rsid w:val="003D67B4"/>
    <w:rsid w:val="003E0F2C"/>
    <w:rsid w:val="003F1603"/>
    <w:rsid w:val="003F194B"/>
    <w:rsid w:val="003F3454"/>
    <w:rsid w:val="00412182"/>
    <w:rsid w:val="00432E3E"/>
    <w:rsid w:val="00441719"/>
    <w:rsid w:val="00445342"/>
    <w:rsid w:val="00462E6F"/>
    <w:rsid w:val="0046609F"/>
    <w:rsid w:val="00467D6F"/>
    <w:rsid w:val="0047244C"/>
    <w:rsid w:val="00481BDD"/>
    <w:rsid w:val="004A07F6"/>
    <w:rsid w:val="004A38E8"/>
    <w:rsid w:val="004A6D06"/>
    <w:rsid w:val="004B0AF0"/>
    <w:rsid w:val="004B36FA"/>
    <w:rsid w:val="004F11DD"/>
    <w:rsid w:val="004F6CE8"/>
    <w:rsid w:val="00502721"/>
    <w:rsid w:val="005064EF"/>
    <w:rsid w:val="005114DD"/>
    <w:rsid w:val="0053040B"/>
    <w:rsid w:val="005319C4"/>
    <w:rsid w:val="00554795"/>
    <w:rsid w:val="005608A2"/>
    <w:rsid w:val="00563F53"/>
    <w:rsid w:val="005728C5"/>
    <w:rsid w:val="00577796"/>
    <w:rsid w:val="005852C8"/>
    <w:rsid w:val="0058692A"/>
    <w:rsid w:val="00594C26"/>
    <w:rsid w:val="00597FC7"/>
    <w:rsid w:val="005A6B3F"/>
    <w:rsid w:val="005A7502"/>
    <w:rsid w:val="005B0F0A"/>
    <w:rsid w:val="005B1ABE"/>
    <w:rsid w:val="005B2FE9"/>
    <w:rsid w:val="005D58B2"/>
    <w:rsid w:val="005E5DCC"/>
    <w:rsid w:val="005E6B7D"/>
    <w:rsid w:val="005F14B6"/>
    <w:rsid w:val="006234FA"/>
    <w:rsid w:val="00636C1C"/>
    <w:rsid w:val="00654DA8"/>
    <w:rsid w:val="006578EB"/>
    <w:rsid w:val="00660071"/>
    <w:rsid w:val="00672807"/>
    <w:rsid w:val="006A7EF5"/>
    <w:rsid w:val="006C2EEC"/>
    <w:rsid w:val="006D3C98"/>
    <w:rsid w:val="006F7047"/>
    <w:rsid w:val="0070019C"/>
    <w:rsid w:val="00701983"/>
    <w:rsid w:val="00706FF6"/>
    <w:rsid w:val="00714559"/>
    <w:rsid w:val="0072345F"/>
    <w:rsid w:val="00732C0E"/>
    <w:rsid w:val="007449ED"/>
    <w:rsid w:val="007576D1"/>
    <w:rsid w:val="0076074F"/>
    <w:rsid w:val="00765B66"/>
    <w:rsid w:val="00775CDC"/>
    <w:rsid w:val="007775A1"/>
    <w:rsid w:val="00793512"/>
    <w:rsid w:val="007A3C28"/>
    <w:rsid w:val="007A7A7F"/>
    <w:rsid w:val="007C118F"/>
    <w:rsid w:val="007D0DB1"/>
    <w:rsid w:val="007E3A56"/>
    <w:rsid w:val="007E773D"/>
    <w:rsid w:val="008112B5"/>
    <w:rsid w:val="00813207"/>
    <w:rsid w:val="00813C11"/>
    <w:rsid w:val="00822A1B"/>
    <w:rsid w:val="00823BF8"/>
    <w:rsid w:val="008275D5"/>
    <w:rsid w:val="00840A92"/>
    <w:rsid w:val="008427C3"/>
    <w:rsid w:val="0084360B"/>
    <w:rsid w:val="00843739"/>
    <w:rsid w:val="00852B3D"/>
    <w:rsid w:val="00863774"/>
    <w:rsid w:val="00863840"/>
    <w:rsid w:val="00871D17"/>
    <w:rsid w:val="00872435"/>
    <w:rsid w:val="008736A3"/>
    <w:rsid w:val="0088039F"/>
    <w:rsid w:val="00882C9D"/>
    <w:rsid w:val="00882E27"/>
    <w:rsid w:val="008A27EB"/>
    <w:rsid w:val="008A35A2"/>
    <w:rsid w:val="008B5C0F"/>
    <w:rsid w:val="008C30BE"/>
    <w:rsid w:val="008C62CA"/>
    <w:rsid w:val="008D4E7C"/>
    <w:rsid w:val="008E1671"/>
    <w:rsid w:val="008E1B6A"/>
    <w:rsid w:val="008E5CC7"/>
    <w:rsid w:val="008F43C0"/>
    <w:rsid w:val="008F7C3D"/>
    <w:rsid w:val="009010CA"/>
    <w:rsid w:val="00924236"/>
    <w:rsid w:val="00936621"/>
    <w:rsid w:val="00943E09"/>
    <w:rsid w:val="009466FE"/>
    <w:rsid w:val="009501BB"/>
    <w:rsid w:val="00977935"/>
    <w:rsid w:val="009A1B65"/>
    <w:rsid w:val="009B0890"/>
    <w:rsid w:val="009C19E4"/>
    <w:rsid w:val="009C2BBA"/>
    <w:rsid w:val="009F0AF6"/>
    <w:rsid w:val="00A059F6"/>
    <w:rsid w:val="00A117DD"/>
    <w:rsid w:val="00A213A9"/>
    <w:rsid w:val="00A32D54"/>
    <w:rsid w:val="00A57C79"/>
    <w:rsid w:val="00A60B9E"/>
    <w:rsid w:val="00A647BF"/>
    <w:rsid w:val="00A70918"/>
    <w:rsid w:val="00A75AC5"/>
    <w:rsid w:val="00A76F30"/>
    <w:rsid w:val="00A772B6"/>
    <w:rsid w:val="00A9477F"/>
    <w:rsid w:val="00A94F42"/>
    <w:rsid w:val="00A96494"/>
    <w:rsid w:val="00AB017B"/>
    <w:rsid w:val="00AC2FB0"/>
    <w:rsid w:val="00AD30F6"/>
    <w:rsid w:val="00AF0DCD"/>
    <w:rsid w:val="00AF22E2"/>
    <w:rsid w:val="00B011F6"/>
    <w:rsid w:val="00B0449E"/>
    <w:rsid w:val="00B07FB9"/>
    <w:rsid w:val="00B110CD"/>
    <w:rsid w:val="00B316D6"/>
    <w:rsid w:val="00B33DA3"/>
    <w:rsid w:val="00B375B6"/>
    <w:rsid w:val="00B45D6C"/>
    <w:rsid w:val="00B54418"/>
    <w:rsid w:val="00B55380"/>
    <w:rsid w:val="00B60595"/>
    <w:rsid w:val="00B66809"/>
    <w:rsid w:val="00B72CF0"/>
    <w:rsid w:val="00B73381"/>
    <w:rsid w:val="00B73C6E"/>
    <w:rsid w:val="00B829FE"/>
    <w:rsid w:val="00B82E8C"/>
    <w:rsid w:val="00BA2602"/>
    <w:rsid w:val="00BA2757"/>
    <w:rsid w:val="00BC137B"/>
    <w:rsid w:val="00BD6EAA"/>
    <w:rsid w:val="00BE1537"/>
    <w:rsid w:val="00BE27AF"/>
    <w:rsid w:val="00C021E1"/>
    <w:rsid w:val="00C23DE3"/>
    <w:rsid w:val="00C45515"/>
    <w:rsid w:val="00C45936"/>
    <w:rsid w:val="00C473F4"/>
    <w:rsid w:val="00C53360"/>
    <w:rsid w:val="00C56B92"/>
    <w:rsid w:val="00C6097D"/>
    <w:rsid w:val="00C62380"/>
    <w:rsid w:val="00C65265"/>
    <w:rsid w:val="00C758B0"/>
    <w:rsid w:val="00C770B9"/>
    <w:rsid w:val="00C90E2B"/>
    <w:rsid w:val="00CB284C"/>
    <w:rsid w:val="00CB7261"/>
    <w:rsid w:val="00CD3CBD"/>
    <w:rsid w:val="00CF71E3"/>
    <w:rsid w:val="00D16391"/>
    <w:rsid w:val="00D2713D"/>
    <w:rsid w:val="00D62DFC"/>
    <w:rsid w:val="00D72B57"/>
    <w:rsid w:val="00D73900"/>
    <w:rsid w:val="00D814FA"/>
    <w:rsid w:val="00D93D28"/>
    <w:rsid w:val="00DA1D2C"/>
    <w:rsid w:val="00DB20A5"/>
    <w:rsid w:val="00DE0922"/>
    <w:rsid w:val="00DE7102"/>
    <w:rsid w:val="00DE74EF"/>
    <w:rsid w:val="00DF0CE8"/>
    <w:rsid w:val="00DF6FA6"/>
    <w:rsid w:val="00E051AF"/>
    <w:rsid w:val="00E27C58"/>
    <w:rsid w:val="00E57DAA"/>
    <w:rsid w:val="00E60530"/>
    <w:rsid w:val="00E62F77"/>
    <w:rsid w:val="00E630D1"/>
    <w:rsid w:val="00EA2237"/>
    <w:rsid w:val="00EB3384"/>
    <w:rsid w:val="00EB3F1D"/>
    <w:rsid w:val="00EB4E89"/>
    <w:rsid w:val="00EB76AA"/>
    <w:rsid w:val="00EB7777"/>
    <w:rsid w:val="00EC5929"/>
    <w:rsid w:val="00EC763D"/>
    <w:rsid w:val="00EE4100"/>
    <w:rsid w:val="00EF2197"/>
    <w:rsid w:val="00EF24CB"/>
    <w:rsid w:val="00EF4795"/>
    <w:rsid w:val="00F06A79"/>
    <w:rsid w:val="00F15BBD"/>
    <w:rsid w:val="00F20851"/>
    <w:rsid w:val="00F21E44"/>
    <w:rsid w:val="00F258B8"/>
    <w:rsid w:val="00F30C92"/>
    <w:rsid w:val="00F36E19"/>
    <w:rsid w:val="00F36EBF"/>
    <w:rsid w:val="00F56A95"/>
    <w:rsid w:val="00F661D4"/>
    <w:rsid w:val="00F708D9"/>
    <w:rsid w:val="00F829B7"/>
    <w:rsid w:val="00F82FFF"/>
    <w:rsid w:val="00F85384"/>
    <w:rsid w:val="00F869E2"/>
    <w:rsid w:val="00F92D95"/>
    <w:rsid w:val="00FA48C3"/>
    <w:rsid w:val="00FB4206"/>
    <w:rsid w:val="00FB7824"/>
    <w:rsid w:val="00FC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C6C32"/>
  <w15:chartTrackingRefBased/>
  <w15:docId w15:val="{66008925-B9D9-429B-8524-7968B7BB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D30F6"/>
    <w:pPr>
      <w:spacing w:after="0" w:line="240" w:lineRule="auto"/>
    </w:pPr>
  </w:style>
  <w:style w:type="paragraph" w:styleId="Heading1">
    <w:name w:val="heading 1"/>
    <w:basedOn w:val="Normal"/>
    <w:next w:val="Bodytext"/>
    <w:link w:val="Heading1Char"/>
    <w:uiPriority w:val="3"/>
    <w:qFormat/>
    <w:rsid w:val="00432E3E"/>
    <w:pPr>
      <w:keepNext/>
      <w:keepLines/>
      <w:pageBreakBefore/>
      <w:numPr>
        <w:numId w:val="9"/>
      </w:numPr>
      <w:spacing w:after="240"/>
      <w:outlineLvl w:val="0"/>
    </w:pPr>
    <w:rPr>
      <w:rFonts w:eastAsiaTheme="majorEastAsia" w:cstheme="majorBidi"/>
      <w:b/>
      <w:color w:val="F7A600" w:themeColor="accent1"/>
      <w:sz w:val="40"/>
      <w:szCs w:val="32"/>
    </w:rPr>
  </w:style>
  <w:style w:type="paragraph" w:styleId="Heading2">
    <w:name w:val="heading 2"/>
    <w:basedOn w:val="Normal"/>
    <w:next w:val="Bodytext"/>
    <w:link w:val="Heading2Char"/>
    <w:uiPriority w:val="3"/>
    <w:unhideWhenUsed/>
    <w:qFormat/>
    <w:rsid w:val="00432E3E"/>
    <w:pPr>
      <w:keepNext/>
      <w:keepLines/>
      <w:numPr>
        <w:ilvl w:val="1"/>
        <w:numId w:val="9"/>
      </w:numPr>
      <w:spacing w:before="480" w:after="180"/>
      <w:outlineLvl w:val="1"/>
    </w:pPr>
    <w:rPr>
      <w:rFonts w:eastAsiaTheme="majorEastAsia" w:cstheme="majorBidi"/>
      <w:b/>
      <w:color w:val="354B55" w:themeColor="text2"/>
      <w:sz w:val="32"/>
      <w:szCs w:val="26"/>
    </w:rPr>
  </w:style>
  <w:style w:type="paragraph" w:styleId="Heading3">
    <w:name w:val="heading 3"/>
    <w:basedOn w:val="Normal"/>
    <w:next w:val="Bodytext"/>
    <w:link w:val="Heading3Char"/>
    <w:uiPriority w:val="3"/>
    <w:unhideWhenUsed/>
    <w:qFormat/>
    <w:rsid w:val="00432E3E"/>
    <w:pPr>
      <w:keepNext/>
      <w:keepLines/>
      <w:numPr>
        <w:ilvl w:val="2"/>
        <w:numId w:val="9"/>
      </w:numPr>
      <w:spacing w:after="80"/>
      <w:outlineLvl w:val="2"/>
    </w:pPr>
    <w:rPr>
      <w:rFonts w:eastAsiaTheme="majorEastAsia" w:cstheme="majorBidi"/>
      <w:b/>
      <w:color w:val="354B55"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A1B"/>
    <w:pPr>
      <w:tabs>
        <w:tab w:val="center" w:pos="4680"/>
        <w:tab w:val="right" w:pos="9360"/>
      </w:tabs>
    </w:pPr>
  </w:style>
  <w:style w:type="character" w:customStyle="1" w:styleId="HeaderChar">
    <w:name w:val="Header Char"/>
    <w:basedOn w:val="DefaultParagraphFont"/>
    <w:link w:val="Header"/>
    <w:uiPriority w:val="99"/>
    <w:rsid w:val="00822A1B"/>
  </w:style>
  <w:style w:type="paragraph" w:styleId="Footer">
    <w:name w:val="footer"/>
    <w:basedOn w:val="Normal"/>
    <w:link w:val="FooterChar"/>
    <w:uiPriority w:val="99"/>
    <w:unhideWhenUsed/>
    <w:rsid w:val="00F06A79"/>
    <w:pPr>
      <w:tabs>
        <w:tab w:val="center" w:pos="4680"/>
        <w:tab w:val="right" w:pos="9360"/>
      </w:tabs>
    </w:pPr>
    <w:rPr>
      <w:color w:val="354B55" w:themeColor="text2"/>
      <w:sz w:val="16"/>
    </w:rPr>
  </w:style>
  <w:style w:type="character" w:customStyle="1" w:styleId="FooterChar">
    <w:name w:val="Footer Char"/>
    <w:basedOn w:val="DefaultParagraphFont"/>
    <w:link w:val="Footer"/>
    <w:uiPriority w:val="99"/>
    <w:rsid w:val="00F06A79"/>
    <w:rPr>
      <w:color w:val="354B55" w:themeColor="text2"/>
      <w:sz w:val="16"/>
    </w:rPr>
  </w:style>
  <w:style w:type="paragraph" w:customStyle="1" w:styleId="Bodytext">
    <w:name w:val="Body_text"/>
    <w:basedOn w:val="Normal"/>
    <w:qFormat/>
    <w:rsid w:val="003769E0"/>
    <w:pPr>
      <w:spacing w:after="240"/>
      <w:jc w:val="both"/>
    </w:pPr>
  </w:style>
  <w:style w:type="character" w:customStyle="1" w:styleId="Heading1Char">
    <w:name w:val="Heading 1 Char"/>
    <w:basedOn w:val="DefaultParagraphFont"/>
    <w:link w:val="Heading1"/>
    <w:uiPriority w:val="3"/>
    <w:rsid w:val="00AD30F6"/>
    <w:rPr>
      <w:rFonts w:eastAsiaTheme="majorEastAsia" w:cstheme="majorBidi"/>
      <w:b/>
      <w:color w:val="F7A600" w:themeColor="accent1"/>
      <w:sz w:val="40"/>
      <w:szCs w:val="32"/>
    </w:rPr>
  </w:style>
  <w:style w:type="character" w:customStyle="1" w:styleId="Heading2Char">
    <w:name w:val="Heading 2 Char"/>
    <w:basedOn w:val="DefaultParagraphFont"/>
    <w:link w:val="Heading2"/>
    <w:uiPriority w:val="3"/>
    <w:rsid w:val="00AD30F6"/>
    <w:rPr>
      <w:rFonts w:eastAsiaTheme="majorEastAsia" w:cstheme="majorBidi"/>
      <w:b/>
      <w:color w:val="354B55" w:themeColor="text2"/>
      <w:sz w:val="32"/>
      <w:szCs w:val="26"/>
    </w:rPr>
  </w:style>
  <w:style w:type="paragraph" w:customStyle="1" w:styleId="Listbullet">
    <w:name w:val="List_bullet"/>
    <w:basedOn w:val="Bodytext"/>
    <w:qFormat/>
    <w:rsid w:val="003769E0"/>
    <w:pPr>
      <w:numPr>
        <w:numId w:val="3"/>
      </w:numPr>
      <w:contextualSpacing/>
      <w:jc w:val="left"/>
    </w:pPr>
  </w:style>
  <w:style w:type="numbering" w:customStyle="1" w:styleId="Enhesabullets">
    <w:name w:val="Enhesa_bullets"/>
    <w:uiPriority w:val="99"/>
    <w:rsid w:val="00F06A79"/>
    <w:pPr>
      <w:numPr>
        <w:numId w:val="1"/>
      </w:numPr>
    </w:pPr>
  </w:style>
  <w:style w:type="paragraph" w:customStyle="1" w:styleId="Bodytextnospacing">
    <w:name w:val="Body_text_nospacing"/>
    <w:basedOn w:val="Bodytext"/>
    <w:qFormat/>
    <w:rsid w:val="00197E25"/>
    <w:pPr>
      <w:spacing w:after="0"/>
    </w:pPr>
  </w:style>
  <w:style w:type="numbering" w:customStyle="1" w:styleId="Enhesaheadings">
    <w:name w:val="Enhesa_headings"/>
    <w:uiPriority w:val="99"/>
    <w:rsid w:val="00432E3E"/>
    <w:pPr>
      <w:numPr>
        <w:numId w:val="4"/>
      </w:numPr>
    </w:pPr>
  </w:style>
  <w:style w:type="paragraph" w:customStyle="1" w:styleId="Listnumber">
    <w:name w:val="List_number"/>
    <w:basedOn w:val="Listbullet"/>
    <w:qFormat/>
    <w:rsid w:val="005319C4"/>
    <w:pPr>
      <w:numPr>
        <w:numId w:val="6"/>
      </w:numPr>
    </w:pPr>
  </w:style>
  <w:style w:type="character" w:customStyle="1" w:styleId="Heading3Char">
    <w:name w:val="Heading 3 Char"/>
    <w:basedOn w:val="DefaultParagraphFont"/>
    <w:link w:val="Heading3"/>
    <w:uiPriority w:val="3"/>
    <w:rsid w:val="00AD30F6"/>
    <w:rPr>
      <w:rFonts w:eastAsiaTheme="majorEastAsia" w:cstheme="majorBidi"/>
      <w:b/>
      <w:color w:val="354B55" w:themeColor="text2"/>
      <w:sz w:val="24"/>
      <w:szCs w:val="24"/>
    </w:rPr>
  </w:style>
  <w:style w:type="numbering" w:customStyle="1" w:styleId="Enhesanumbers">
    <w:name w:val="Enhesa_numbers"/>
    <w:uiPriority w:val="99"/>
    <w:rsid w:val="005319C4"/>
    <w:pPr>
      <w:numPr>
        <w:numId w:val="6"/>
      </w:numPr>
    </w:pPr>
  </w:style>
  <w:style w:type="character" w:styleId="Emphasis">
    <w:name w:val="Emphasis"/>
    <w:basedOn w:val="DefaultParagraphFont"/>
    <w:uiPriority w:val="2"/>
    <w:qFormat/>
    <w:rsid w:val="005319C4"/>
    <w:rPr>
      <w:b/>
      <w:i w:val="0"/>
      <w:iCs/>
      <w:color w:val="F7A600" w:themeColor="accent1"/>
    </w:rPr>
  </w:style>
  <w:style w:type="character" w:styleId="SubtleEmphasis">
    <w:name w:val="Subtle Emphasis"/>
    <w:basedOn w:val="DefaultParagraphFont"/>
    <w:uiPriority w:val="1"/>
    <w:qFormat/>
    <w:rsid w:val="005319C4"/>
    <w:rPr>
      <w:i/>
      <w:iCs/>
      <w:color w:val="F7A600" w:themeColor="accent1"/>
    </w:rPr>
  </w:style>
  <w:style w:type="paragraph" w:styleId="TOC1">
    <w:name w:val="toc 1"/>
    <w:basedOn w:val="Normal"/>
    <w:next w:val="Normal"/>
    <w:autoRedefine/>
    <w:uiPriority w:val="39"/>
    <w:semiHidden/>
    <w:rsid w:val="005319C4"/>
    <w:pPr>
      <w:tabs>
        <w:tab w:val="left" w:pos="567"/>
        <w:tab w:val="right" w:leader="dot" w:pos="9628"/>
      </w:tabs>
      <w:spacing w:before="360" w:after="120"/>
    </w:pPr>
    <w:rPr>
      <w:b/>
      <w:noProof/>
      <w:color w:val="F7A600" w:themeColor="accent1"/>
      <w:sz w:val="24"/>
    </w:rPr>
  </w:style>
  <w:style w:type="paragraph" w:styleId="TOC2">
    <w:name w:val="toc 2"/>
    <w:basedOn w:val="Normal"/>
    <w:next w:val="Normal"/>
    <w:autoRedefine/>
    <w:uiPriority w:val="39"/>
    <w:semiHidden/>
    <w:rsid w:val="005319C4"/>
    <w:pPr>
      <w:tabs>
        <w:tab w:val="left" w:pos="567"/>
        <w:tab w:val="right" w:leader="dot" w:pos="9628"/>
      </w:tabs>
      <w:spacing w:after="40"/>
    </w:pPr>
  </w:style>
  <w:style w:type="paragraph" w:styleId="TOC3">
    <w:name w:val="toc 3"/>
    <w:basedOn w:val="Normal"/>
    <w:next w:val="Normal"/>
    <w:autoRedefine/>
    <w:uiPriority w:val="39"/>
    <w:semiHidden/>
    <w:rsid w:val="00432E3E"/>
    <w:pPr>
      <w:tabs>
        <w:tab w:val="left" w:pos="1134"/>
        <w:tab w:val="left" w:pos="1320"/>
        <w:tab w:val="right" w:leader="dot" w:pos="9628"/>
      </w:tabs>
      <w:spacing w:after="40"/>
      <w:ind w:left="567"/>
    </w:pPr>
  </w:style>
  <w:style w:type="character" w:styleId="Hyperlink">
    <w:name w:val="Hyperlink"/>
    <w:basedOn w:val="DefaultParagraphFont"/>
    <w:uiPriority w:val="99"/>
    <w:unhideWhenUsed/>
    <w:rsid w:val="005319C4"/>
    <w:rPr>
      <w:color w:val="F7A600" w:themeColor="hyperlink"/>
      <w:u w:val="single"/>
    </w:rPr>
  </w:style>
  <w:style w:type="paragraph" w:customStyle="1" w:styleId="Headingannex">
    <w:name w:val="Heading_annex"/>
    <w:basedOn w:val="Heading1"/>
    <w:uiPriority w:val="3"/>
    <w:qFormat/>
    <w:rsid w:val="0008114A"/>
    <w:pPr>
      <w:pageBreakBefore w:val="0"/>
      <w:numPr>
        <w:numId w:val="0"/>
      </w:numPr>
      <w:spacing w:after="1200"/>
      <w:jc w:val="center"/>
    </w:pPr>
    <w:rPr>
      <w:rFonts w:asciiTheme="majorHAnsi" w:hAnsiTheme="majorHAnsi"/>
      <w:b w:val="0"/>
      <w:color w:val="354B55" w:themeColor="text2"/>
      <w:sz w:val="60"/>
    </w:rPr>
  </w:style>
  <w:style w:type="paragraph" w:customStyle="1" w:styleId="White">
    <w:name w:val="White"/>
    <w:basedOn w:val="Bodytext"/>
    <w:uiPriority w:val="3"/>
    <w:qFormat/>
    <w:rsid w:val="0008114A"/>
    <w:pPr>
      <w:spacing w:after="1320"/>
    </w:pPr>
  </w:style>
  <w:style w:type="character" w:styleId="UnresolvedMention">
    <w:name w:val="Unresolved Mention"/>
    <w:basedOn w:val="DefaultParagraphFont"/>
    <w:uiPriority w:val="99"/>
    <w:semiHidden/>
    <w:unhideWhenUsed/>
    <w:rsid w:val="003F194B"/>
    <w:rPr>
      <w:color w:val="605E5C"/>
      <w:shd w:val="clear" w:color="auto" w:fill="E1DFDD"/>
    </w:rPr>
  </w:style>
  <w:style w:type="table" w:styleId="TableGrid">
    <w:name w:val="Table Grid"/>
    <w:basedOn w:val="TableNormal"/>
    <w:uiPriority w:val="39"/>
    <w:rsid w:val="003F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660071"/>
    <w:pPr>
      <w:spacing w:before="40" w:after="40" w:line="240" w:lineRule="auto"/>
    </w:pPr>
    <w:rPr>
      <w:sz w:val="20"/>
    </w:rPr>
    <w:tblPr>
      <w:tblStyleRowBandSize w:val="1"/>
      <w:tblStyleColBandSize w:val="1"/>
      <w:tblBorders>
        <w:top w:val="single" w:sz="4" w:space="0" w:color="009FE3" w:themeColor="accent3"/>
        <w:left w:val="single" w:sz="4" w:space="0" w:color="009FE3" w:themeColor="accent3"/>
        <w:bottom w:val="single" w:sz="4" w:space="0" w:color="009FE3" w:themeColor="accent3"/>
        <w:right w:val="single" w:sz="4" w:space="0" w:color="009FE3" w:themeColor="accent3"/>
      </w:tblBorders>
    </w:tblPr>
    <w:tcPr>
      <w:tcMar>
        <w:top w:w="57" w:type="dxa"/>
        <w:bottom w:w="57" w:type="dxa"/>
      </w:tcMar>
    </w:tcPr>
    <w:tblStylePr w:type="firstRow">
      <w:pPr>
        <w:wordWrap/>
        <w:spacing w:beforeLines="40" w:before="40" w:beforeAutospacing="0" w:afterLines="40" w:after="40" w:afterAutospacing="0" w:line="240" w:lineRule="auto"/>
      </w:pPr>
      <w:rPr>
        <w:rFonts w:asciiTheme="minorHAnsi" w:hAnsiTheme="minorHAnsi"/>
        <w:b w:val="0"/>
        <w:bCs/>
        <w:color w:val="FFFFFF" w:themeColor="background1"/>
        <w:sz w:val="20"/>
      </w:rPr>
      <w:tblPr/>
      <w:tcPr>
        <w:shd w:val="clear" w:color="auto" w:fill="009FE3" w:themeFill="accent3"/>
      </w:tcPr>
    </w:tblStylePr>
    <w:tblStylePr w:type="lastRow">
      <w:rPr>
        <w:b/>
        <w:bCs/>
      </w:rPr>
      <w:tblPr/>
      <w:tcPr>
        <w:tcBorders>
          <w:top w:val="double" w:sz="4" w:space="0" w:color="009FE3" w:themeColor="accent3"/>
        </w:tcBorders>
        <w:shd w:val="clear" w:color="auto" w:fill="FFFFFF" w:themeFill="background1"/>
      </w:tcPr>
    </w:tblStylePr>
    <w:tblStylePr w:type="firstCol">
      <w:pPr>
        <w:wordWrap/>
        <w:spacing w:beforeLines="0" w:before="40" w:beforeAutospacing="0" w:afterLines="0" w:after="40" w:afterAutospacing="0" w:line="240" w:lineRule="auto"/>
      </w:pPr>
      <w:rPr>
        <w:rFonts w:asciiTheme="minorHAnsi" w:hAnsiTheme="minorHAnsi"/>
        <w:b/>
        <w:bCs/>
        <w:color w:val="009FE3" w:themeColor="accent3"/>
        <w:sz w:val="20"/>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3"/>
          <w:right w:val="single" w:sz="4" w:space="0" w:color="009FE3" w:themeColor="accent3"/>
        </w:tcBorders>
      </w:tcPr>
    </w:tblStylePr>
    <w:tblStylePr w:type="band1Horz">
      <w:tblPr/>
      <w:tcPr>
        <w:tcBorders>
          <w:top w:val="single" w:sz="4" w:space="0" w:color="009FE3" w:themeColor="accent3"/>
          <w:bottom w:val="single" w:sz="4" w:space="0" w:color="009F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3"/>
          <w:left w:val="nil"/>
        </w:tcBorders>
      </w:tcPr>
    </w:tblStylePr>
    <w:tblStylePr w:type="swCell">
      <w:tblPr/>
      <w:tcPr>
        <w:tcBorders>
          <w:top w:val="double" w:sz="4" w:space="0" w:color="009FE3" w:themeColor="accent3"/>
          <w:right w:val="nil"/>
        </w:tcBorders>
      </w:tcPr>
    </w:tblStylePr>
  </w:style>
  <w:style w:type="table" w:customStyle="1" w:styleId="TableGrid2">
    <w:name w:val="Table Grid2"/>
    <w:basedOn w:val="TableNormal"/>
    <w:next w:val="TableGrid"/>
    <w:uiPriority w:val="59"/>
    <w:rsid w:val="003769E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Table3-Accent5">
    <w:name w:val="List Table 3 Accent 5"/>
    <w:basedOn w:val="TableNormal"/>
    <w:uiPriority w:val="48"/>
    <w:rsid w:val="006F7047"/>
    <w:pPr>
      <w:spacing w:before="40" w:after="40" w:line="240" w:lineRule="auto"/>
    </w:pPr>
    <w:rPr>
      <w:sz w:val="20"/>
    </w:rPr>
    <w:tblPr>
      <w:tblStyleRowBandSize w:val="1"/>
      <w:tblStyleColBandSize w:val="1"/>
      <w:tblBorders>
        <w:top w:val="single" w:sz="4" w:space="0" w:color="F36F21" w:themeColor="accent5"/>
        <w:left w:val="single" w:sz="4" w:space="0" w:color="F36F21" w:themeColor="accent5"/>
        <w:bottom w:val="single" w:sz="4" w:space="0" w:color="F36F21" w:themeColor="accent5"/>
        <w:right w:val="single" w:sz="4" w:space="0" w:color="F36F21" w:themeColor="accent5"/>
      </w:tblBorders>
    </w:tblPr>
    <w:tblStylePr w:type="firstRow">
      <w:rPr>
        <w:b/>
        <w:bCs/>
        <w:color w:val="FFFFFF" w:themeColor="background1"/>
      </w:rPr>
      <w:tblPr/>
      <w:tcPr>
        <w:shd w:val="clear" w:color="auto" w:fill="F36F21" w:themeFill="accent5"/>
      </w:tcPr>
    </w:tblStylePr>
    <w:tblStylePr w:type="lastRow">
      <w:rPr>
        <w:b/>
        <w:bCs/>
      </w:rPr>
      <w:tblPr/>
      <w:tcPr>
        <w:tcBorders>
          <w:top w:val="double" w:sz="4" w:space="0" w:color="F36F2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6F21" w:themeColor="accent5"/>
          <w:right w:val="single" w:sz="4" w:space="0" w:color="F36F21" w:themeColor="accent5"/>
        </w:tcBorders>
      </w:tcPr>
    </w:tblStylePr>
    <w:tblStylePr w:type="band1Horz">
      <w:tblPr/>
      <w:tcPr>
        <w:tcBorders>
          <w:top w:val="single" w:sz="4" w:space="0" w:color="F36F21" w:themeColor="accent5"/>
          <w:bottom w:val="single" w:sz="4" w:space="0" w:color="F36F2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6F21" w:themeColor="accent5"/>
          <w:left w:val="nil"/>
        </w:tcBorders>
      </w:tcPr>
    </w:tblStylePr>
    <w:tblStylePr w:type="swCell">
      <w:tblPr/>
      <w:tcPr>
        <w:tcBorders>
          <w:top w:val="double" w:sz="4" w:space="0" w:color="F36F21" w:themeColor="accent5"/>
          <w:right w:val="nil"/>
        </w:tcBorders>
      </w:tcPr>
    </w:tblStylePr>
  </w:style>
  <w:style w:type="table" w:styleId="ListTable3-Accent1">
    <w:name w:val="List Table 3 Accent 1"/>
    <w:basedOn w:val="TableNormal"/>
    <w:uiPriority w:val="48"/>
    <w:rsid w:val="007C118F"/>
    <w:pPr>
      <w:spacing w:before="40" w:after="40" w:line="240" w:lineRule="auto"/>
    </w:pPr>
    <w:rPr>
      <w:sz w:val="20"/>
    </w:rPr>
    <w:tblPr>
      <w:tblStyleRowBandSize w:val="1"/>
      <w:tblStyleColBandSize w:val="1"/>
      <w:tblBorders>
        <w:top w:val="single" w:sz="4" w:space="0" w:color="F7A600" w:themeColor="accent1"/>
        <w:left w:val="single" w:sz="4" w:space="0" w:color="F7A600" w:themeColor="accent1"/>
        <w:bottom w:val="single" w:sz="4" w:space="0" w:color="F7A600" w:themeColor="accent1"/>
        <w:right w:val="single" w:sz="4" w:space="0" w:color="F7A600" w:themeColor="accent1"/>
      </w:tblBorders>
    </w:tblPr>
    <w:tcPr>
      <w:tcMar>
        <w:top w:w="57" w:type="dxa"/>
        <w:bottom w:w="113" w:type="dxa"/>
      </w:tcMar>
    </w:tcPr>
    <w:tblStylePr w:type="firstRow">
      <w:pPr>
        <w:wordWrap/>
        <w:spacing w:beforeLines="0" w:before="40" w:beforeAutospacing="0" w:afterLines="0" w:after="40" w:afterAutospacing="0" w:line="240" w:lineRule="auto"/>
      </w:pPr>
      <w:rPr>
        <w:b w:val="0"/>
        <w:bCs/>
        <w:color w:val="FFFFFF" w:themeColor="background1"/>
      </w:rPr>
      <w:tblPr/>
      <w:tcPr>
        <w:shd w:val="clear" w:color="auto" w:fill="F7A600" w:themeFill="accent1"/>
      </w:tcPr>
    </w:tblStylePr>
    <w:tblStylePr w:type="lastRow">
      <w:rPr>
        <w:b/>
        <w:bCs/>
      </w:rPr>
      <w:tblPr/>
      <w:tcPr>
        <w:tcBorders>
          <w:top w:val="double" w:sz="4" w:space="0" w:color="F7A600" w:themeColor="accent1"/>
        </w:tcBorders>
        <w:shd w:val="clear" w:color="auto" w:fill="FFFFFF" w:themeFill="background1"/>
      </w:tcPr>
    </w:tblStylePr>
    <w:tblStylePr w:type="firstCol">
      <w:rPr>
        <w:b/>
        <w:bCs/>
        <w:color w:val="F7A600" w:themeColor="accent1"/>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A600" w:themeColor="accent1"/>
          <w:right w:val="single" w:sz="4" w:space="0" w:color="F7A600" w:themeColor="accent1"/>
        </w:tcBorders>
      </w:tcPr>
    </w:tblStylePr>
    <w:tblStylePr w:type="band1Horz">
      <w:tblPr/>
      <w:tcPr>
        <w:tcBorders>
          <w:top w:val="single" w:sz="4" w:space="0" w:color="F7A600" w:themeColor="accent1"/>
          <w:bottom w:val="single" w:sz="4" w:space="0" w:color="F7A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A600" w:themeColor="accent1"/>
          <w:left w:val="nil"/>
        </w:tcBorders>
      </w:tcPr>
    </w:tblStylePr>
    <w:tblStylePr w:type="swCell">
      <w:tblPr/>
      <w:tcPr>
        <w:tcBorders>
          <w:top w:val="double" w:sz="4" w:space="0" w:color="F7A600" w:themeColor="accent1"/>
          <w:right w:val="nil"/>
        </w:tcBorders>
      </w:tcPr>
    </w:tblStylePr>
  </w:style>
  <w:style w:type="character" w:styleId="PlaceholderText">
    <w:name w:val="Placeholder Text"/>
    <w:basedOn w:val="DefaultParagraphFont"/>
    <w:uiPriority w:val="99"/>
    <w:semiHidden/>
    <w:rsid w:val="00467D6F"/>
    <w:rPr>
      <w:color w:val="808080"/>
    </w:rPr>
  </w:style>
  <w:style w:type="paragraph" w:customStyle="1" w:styleId="Letterclose">
    <w:name w:val="Letter_close"/>
    <w:basedOn w:val="Bodytext"/>
    <w:uiPriority w:val="1"/>
    <w:qFormat/>
    <w:rsid w:val="00266FBE"/>
    <w:pPr>
      <w:spacing w:after="600"/>
    </w:pPr>
  </w:style>
  <w:style w:type="character" w:styleId="Strong">
    <w:name w:val="Strong"/>
    <w:basedOn w:val="DefaultParagraphFont"/>
    <w:uiPriority w:val="2"/>
    <w:qFormat/>
    <w:rsid w:val="00266FBE"/>
    <w:rPr>
      <w:b/>
      <w:bCs/>
    </w:rPr>
  </w:style>
  <w:style w:type="table" w:customStyle="1" w:styleId="Enhesatableorange">
    <w:name w:val="Enhesa_table orange"/>
    <w:basedOn w:val="TableNormal"/>
    <w:uiPriority w:val="99"/>
    <w:rsid w:val="003F3454"/>
    <w:pPr>
      <w:spacing w:before="40" w:after="40" w:line="240" w:lineRule="auto"/>
    </w:pPr>
    <w:rPr>
      <w:sz w:val="20"/>
    </w:rPr>
    <w:tblPr>
      <w:tblBorders>
        <w:top w:val="single" w:sz="4" w:space="0" w:color="F7A600" w:themeColor="accent1"/>
        <w:left w:val="single" w:sz="4" w:space="0" w:color="F7A600" w:themeColor="accent1"/>
        <w:bottom w:val="single" w:sz="4" w:space="0" w:color="F7A600" w:themeColor="accent1"/>
        <w:right w:val="single" w:sz="4" w:space="0" w:color="F7A600" w:themeColor="accent1"/>
        <w:insideH w:val="single" w:sz="4" w:space="0" w:color="F7A600" w:themeColor="accent1"/>
      </w:tblBorders>
    </w:tblPr>
    <w:tcPr>
      <w:tcMar>
        <w:top w:w="57" w:type="dxa"/>
        <w:bottom w:w="113" w:type="dxa"/>
      </w:tcMar>
    </w:tcPr>
    <w:tblStylePr w:type="firstRow">
      <w:rPr>
        <w:rFonts w:asciiTheme="minorHAnsi" w:hAnsiTheme="minorHAnsi"/>
        <w:color w:val="FFFFFF" w:themeColor="background1"/>
        <w:sz w:val="20"/>
      </w:rPr>
      <w:tblPr/>
      <w:tcPr>
        <w:shd w:val="clear" w:color="auto" w:fill="F7A600" w:themeFill="accent1"/>
      </w:tcPr>
    </w:tblStylePr>
    <w:tblStylePr w:type="firstCol">
      <w:rPr>
        <w:rFonts w:asciiTheme="minorHAnsi" w:hAnsiTheme="minorHAnsi"/>
        <w:b/>
        <w:color w:val="F7A600" w:themeColor="accent1"/>
        <w:sz w:val="20"/>
      </w:rPr>
    </w:tblStylePr>
  </w:style>
  <w:style w:type="paragraph" w:customStyle="1" w:styleId="LetterEnhesaaddress">
    <w:name w:val="Letter_Enhesa_address"/>
    <w:basedOn w:val="Bodytext"/>
    <w:uiPriority w:val="5"/>
    <w:qFormat/>
    <w:rsid w:val="007449ED"/>
    <w:pPr>
      <w:spacing w:after="0" w:line="216" w:lineRule="auto"/>
      <w:jc w:val="left"/>
    </w:pPr>
  </w:style>
  <w:style w:type="paragraph" w:customStyle="1" w:styleId="LetterEnhesaaddressfirst">
    <w:name w:val="Letter_Enhesa_address_first"/>
    <w:basedOn w:val="LetterEnhesaaddress"/>
    <w:uiPriority w:val="5"/>
    <w:qFormat/>
    <w:rsid w:val="00186665"/>
    <w:pPr>
      <w:spacing w:after="80"/>
    </w:pPr>
    <w:rPr>
      <w:b/>
    </w:rPr>
  </w:style>
  <w:style w:type="paragraph" w:customStyle="1" w:styleId="Letteraddress">
    <w:name w:val="Letter_address"/>
    <w:basedOn w:val="LetterEnhesaaddress"/>
    <w:uiPriority w:val="1"/>
    <w:qFormat/>
    <w:rsid w:val="0076074F"/>
  </w:style>
  <w:style w:type="paragraph" w:customStyle="1" w:styleId="Letteraddressfirst">
    <w:name w:val="Letter_address_first"/>
    <w:basedOn w:val="Letteraddress"/>
    <w:uiPriority w:val="1"/>
    <w:qFormat/>
    <w:rsid w:val="00186665"/>
    <w:pPr>
      <w:spacing w:after="80"/>
    </w:pPr>
    <w:rPr>
      <w:b/>
    </w:rPr>
  </w:style>
  <w:style w:type="paragraph" w:customStyle="1" w:styleId="Letterdate">
    <w:name w:val="Letter_date"/>
    <w:basedOn w:val="Bodytext"/>
    <w:uiPriority w:val="1"/>
    <w:qFormat/>
    <w:rsid w:val="007449ED"/>
    <w:pPr>
      <w:spacing w:after="0"/>
    </w:pPr>
  </w:style>
  <w:style w:type="paragraph" w:customStyle="1" w:styleId="Letterreference">
    <w:name w:val="Letter_reference"/>
    <w:basedOn w:val="Bodytext"/>
    <w:uiPriority w:val="1"/>
    <w:qFormat/>
    <w:rsid w:val="007449ED"/>
    <w:pPr>
      <w:spacing w:after="680"/>
    </w:pPr>
  </w:style>
  <w:style w:type="paragraph" w:styleId="Revision">
    <w:name w:val="Revision"/>
    <w:hidden/>
    <w:uiPriority w:val="99"/>
    <w:semiHidden/>
    <w:rsid w:val="00481BDD"/>
    <w:pPr>
      <w:spacing w:after="0" w:line="240" w:lineRule="auto"/>
    </w:pPr>
  </w:style>
  <w:style w:type="paragraph" w:styleId="ListParagraph">
    <w:name w:val="List Paragraph"/>
    <w:basedOn w:val="Normal"/>
    <w:uiPriority w:val="34"/>
    <w:semiHidden/>
    <w:qFormat/>
    <w:rsid w:val="00F661D4"/>
    <w:pPr>
      <w:ind w:left="720"/>
      <w:contextualSpacing/>
    </w:pPr>
  </w:style>
  <w:style w:type="character" w:styleId="CommentReference">
    <w:name w:val="annotation reference"/>
    <w:basedOn w:val="DefaultParagraphFont"/>
    <w:uiPriority w:val="99"/>
    <w:semiHidden/>
    <w:unhideWhenUsed/>
    <w:rsid w:val="0002621A"/>
    <w:rPr>
      <w:sz w:val="16"/>
      <w:szCs w:val="16"/>
    </w:rPr>
  </w:style>
  <w:style w:type="paragraph" w:styleId="CommentText">
    <w:name w:val="annotation text"/>
    <w:basedOn w:val="Normal"/>
    <w:link w:val="CommentTextChar"/>
    <w:uiPriority w:val="99"/>
    <w:unhideWhenUsed/>
    <w:rsid w:val="0002621A"/>
    <w:rPr>
      <w:sz w:val="20"/>
      <w:szCs w:val="20"/>
    </w:rPr>
  </w:style>
  <w:style w:type="character" w:customStyle="1" w:styleId="CommentTextChar">
    <w:name w:val="Comment Text Char"/>
    <w:basedOn w:val="DefaultParagraphFont"/>
    <w:link w:val="CommentText"/>
    <w:uiPriority w:val="99"/>
    <w:rsid w:val="0002621A"/>
    <w:rPr>
      <w:sz w:val="20"/>
      <w:szCs w:val="20"/>
    </w:rPr>
  </w:style>
  <w:style w:type="paragraph" w:styleId="CommentSubject">
    <w:name w:val="annotation subject"/>
    <w:basedOn w:val="CommentText"/>
    <w:next w:val="CommentText"/>
    <w:link w:val="CommentSubjectChar"/>
    <w:uiPriority w:val="99"/>
    <w:semiHidden/>
    <w:unhideWhenUsed/>
    <w:rsid w:val="0002621A"/>
    <w:rPr>
      <w:b/>
      <w:bCs/>
    </w:rPr>
  </w:style>
  <w:style w:type="character" w:customStyle="1" w:styleId="CommentSubjectChar">
    <w:name w:val="Comment Subject Char"/>
    <w:basedOn w:val="CommentTextChar"/>
    <w:link w:val="CommentSubject"/>
    <w:uiPriority w:val="99"/>
    <w:semiHidden/>
    <w:rsid w:val="0002621A"/>
    <w:rPr>
      <w:b/>
      <w:bCs/>
      <w:sz w:val="20"/>
      <w:szCs w:val="20"/>
    </w:rPr>
  </w:style>
  <w:style w:type="character" w:customStyle="1" w:styleId="normaltextrun">
    <w:name w:val="normaltextrun"/>
    <w:basedOn w:val="DefaultParagraphFont"/>
    <w:rsid w:val="008E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3011">
      <w:bodyDiv w:val="1"/>
      <w:marLeft w:val="0"/>
      <w:marRight w:val="0"/>
      <w:marTop w:val="0"/>
      <w:marBottom w:val="0"/>
      <w:divBdr>
        <w:top w:val="none" w:sz="0" w:space="0" w:color="auto"/>
        <w:left w:val="none" w:sz="0" w:space="0" w:color="auto"/>
        <w:bottom w:val="none" w:sz="0" w:space="0" w:color="auto"/>
        <w:right w:val="none" w:sz="0" w:space="0" w:color="auto"/>
      </w:divBdr>
    </w:div>
    <w:div w:id="588588020">
      <w:bodyDiv w:val="1"/>
      <w:marLeft w:val="0"/>
      <w:marRight w:val="0"/>
      <w:marTop w:val="0"/>
      <w:marBottom w:val="0"/>
      <w:divBdr>
        <w:top w:val="none" w:sz="0" w:space="0" w:color="auto"/>
        <w:left w:val="none" w:sz="0" w:space="0" w:color="auto"/>
        <w:bottom w:val="none" w:sz="0" w:space="0" w:color="auto"/>
        <w:right w:val="none" w:sz="0" w:space="0" w:color="auto"/>
      </w:divBdr>
    </w:div>
    <w:div w:id="811337773">
      <w:bodyDiv w:val="1"/>
      <w:marLeft w:val="0"/>
      <w:marRight w:val="0"/>
      <w:marTop w:val="0"/>
      <w:marBottom w:val="0"/>
      <w:divBdr>
        <w:top w:val="none" w:sz="0" w:space="0" w:color="auto"/>
        <w:left w:val="none" w:sz="0" w:space="0" w:color="auto"/>
        <w:bottom w:val="none" w:sz="0" w:space="0" w:color="auto"/>
        <w:right w:val="none" w:sz="0" w:space="0" w:color="auto"/>
      </w:divBdr>
    </w:div>
    <w:div w:id="855777544">
      <w:bodyDiv w:val="1"/>
      <w:marLeft w:val="0"/>
      <w:marRight w:val="0"/>
      <w:marTop w:val="0"/>
      <w:marBottom w:val="0"/>
      <w:divBdr>
        <w:top w:val="none" w:sz="0" w:space="0" w:color="auto"/>
        <w:left w:val="none" w:sz="0" w:space="0" w:color="auto"/>
        <w:bottom w:val="none" w:sz="0" w:space="0" w:color="auto"/>
        <w:right w:val="none" w:sz="0" w:space="0" w:color="auto"/>
      </w:divBdr>
    </w:div>
    <w:div w:id="1117987554">
      <w:bodyDiv w:val="1"/>
      <w:marLeft w:val="0"/>
      <w:marRight w:val="0"/>
      <w:marTop w:val="0"/>
      <w:marBottom w:val="0"/>
      <w:divBdr>
        <w:top w:val="none" w:sz="0" w:space="0" w:color="auto"/>
        <w:left w:val="none" w:sz="0" w:space="0" w:color="auto"/>
        <w:bottom w:val="none" w:sz="0" w:space="0" w:color="auto"/>
        <w:right w:val="none" w:sz="0" w:space="0" w:color="auto"/>
      </w:divBdr>
    </w:div>
    <w:div w:id="14275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hesa.com/landing/data-processing-agreeme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gal@enhesa.com" TargetMode="External"/><Relationship Id="rId4" Type="http://schemas.openxmlformats.org/officeDocument/2006/relationships/settings" Target="settings.xml"/><Relationship Id="rId9" Type="http://schemas.openxmlformats.org/officeDocument/2006/relationships/hyperlink" Target="https://www.enhesa.com/privacy-polic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nhesa">
      <a:dk1>
        <a:sysClr val="windowText" lastClr="000000"/>
      </a:dk1>
      <a:lt1>
        <a:sysClr val="window" lastClr="FFFFFF"/>
      </a:lt1>
      <a:dk2>
        <a:srgbClr val="354B55"/>
      </a:dk2>
      <a:lt2>
        <a:srgbClr val="C7D4DB"/>
      </a:lt2>
      <a:accent1>
        <a:srgbClr val="F7A600"/>
      </a:accent1>
      <a:accent2>
        <a:srgbClr val="95C11F"/>
      </a:accent2>
      <a:accent3>
        <a:srgbClr val="009FE3"/>
      </a:accent3>
      <a:accent4>
        <a:srgbClr val="22B24C"/>
      </a:accent4>
      <a:accent5>
        <a:srgbClr val="F36F21"/>
      </a:accent5>
      <a:accent6>
        <a:srgbClr val="007DC6"/>
      </a:accent6>
      <a:hlink>
        <a:srgbClr val="F7A600"/>
      </a:hlink>
      <a:folHlink>
        <a:srgbClr val="95C11F"/>
      </a:folHlink>
    </a:clrScheme>
    <a:fontScheme name="Enhesa">
      <a:majorFont>
        <a:latin typeface="Franklin Gothic Medium Con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3E267-BB4C-4D2A-8C14-F81749A3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Enhesa letter</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Enhesa letter</dc:title>
  <dc:subject/>
  <dc:creator>Pieter Vervinckt</dc:creator>
  <cp:keywords/>
  <dc:description/>
  <cp:lastModifiedBy>Stuart Foxon</cp:lastModifiedBy>
  <cp:revision>4</cp:revision>
  <cp:lastPrinted>2020-05-19T07:04:00Z</cp:lastPrinted>
  <dcterms:created xsi:type="dcterms:W3CDTF">2025-04-23T15:36:00Z</dcterms:created>
  <dcterms:modified xsi:type="dcterms:W3CDTF">2025-04-25T11:33:00Z</dcterms:modified>
</cp:coreProperties>
</file>